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59A3" w14:textId="669B60DF" w:rsidR="00F72A67" w:rsidRPr="00122502" w:rsidRDefault="00F72A67">
      <w:pPr>
        <w:pStyle w:val="Title"/>
        <w:rPr>
          <w:color w:val="5F5F5F" w:themeColor="text2" w:themeTint="BF"/>
          <w:sz w:val="76"/>
          <w:szCs w:val="76"/>
        </w:rPr>
      </w:pPr>
      <w:r w:rsidRPr="00122502">
        <w:rPr>
          <w:color w:val="5F5F5F" w:themeColor="text2" w:themeTint="BF"/>
          <w:sz w:val="76"/>
          <w:szCs w:val="76"/>
        </w:rPr>
        <w:t>community corrections</w:t>
      </w:r>
    </w:p>
    <w:p w14:paraId="3DD3A712" w14:textId="61C86186" w:rsidR="00A41B88" w:rsidRPr="00122502" w:rsidRDefault="00F72A67">
      <w:pPr>
        <w:pStyle w:val="Title"/>
        <w:rPr>
          <w:color w:val="5F5F5F" w:themeColor="text2" w:themeTint="BF"/>
          <w:sz w:val="76"/>
          <w:szCs w:val="76"/>
        </w:rPr>
      </w:pPr>
      <w:r w:rsidRPr="00122502">
        <w:rPr>
          <w:color w:val="5F5F5F" w:themeColor="text2" w:themeTint="BF"/>
          <w:sz w:val="76"/>
          <w:szCs w:val="76"/>
        </w:rPr>
        <w:t xml:space="preserve">in </w:t>
      </w:r>
      <w:r w:rsidR="00754971">
        <w:rPr>
          <w:color w:val="5F5F5F" w:themeColor="text2" w:themeTint="BF"/>
          <w:sz w:val="76"/>
          <w:szCs w:val="76"/>
        </w:rPr>
        <w:t>Canada</w:t>
      </w:r>
    </w:p>
    <w:p w14:paraId="7BBD23BE" w14:textId="77777777" w:rsidR="00A41B88" w:rsidRPr="00122502" w:rsidRDefault="00F72A67" w:rsidP="00F72A67">
      <w:pPr>
        <w:pStyle w:val="Subtitle"/>
        <w:rPr>
          <w:color w:val="25487C"/>
        </w:rPr>
      </w:pPr>
      <w:r w:rsidRPr="00122502">
        <w:rPr>
          <w:color w:val="25487C"/>
        </w:rPr>
        <w:t>Narrative Summary</w:t>
      </w:r>
    </w:p>
    <w:p w14:paraId="221137CC" w14:textId="29D426F2" w:rsidR="00F72A67" w:rsidRPr="00E26CF2" w:rsidRDefault="008C563E" w:rsidP="00F75A6E">
      <w:pPr>
        <w:pStyle w:val="Author"/>
        <w:tabs>
          <w:tab w:val="left" w:pos="6378"/>
        </w:tabs>
        <w:rPr>
          <w:rFonts w:ascii="Verdana" w:hAnsi="Verdana"/>
        </w:rPr>
      </w:pPr>
      <w:r>
        <w:rPr>
          <w:rFonts w:ascii="Verdana" w:hAnsi="Verdana"/>
        </w:rPr>
        <w:t xml:space="preserve">06 December </w:t>
      </w:r>
      <w:r w:rsidR="00754971">
        <w:rPr>
          <w:rFonts w:ascii="Verdana" w:hAnsi="Verdana"/>
        </w:rPr>
        <w:t>2025</w:t>
      </w:r>
      <w:r w:rsidR="00F75A6E">
        <w:rPr>
          <w:rFonts w:ascii="Verdana" w:hAnsi="Verdana"/>
        </w:rPr>
        <w:tab/>
      </w:r>
    </w:p>
    <w:p w14:paraId="099645AF" w14:textId="77777777" w:rsidR="00F72A67" w:rsidRDefault="00F72A67">
      <w:pPr>
        <w:pStyle w:val="Author"/>
      </w:pPr>
    </w:p>
    <w:p w14:paraId="64FC035E" w14:textId="77777777" w:rsidR="00F72A67" w:rsidRDefault="00F72A67">
      <w:pPr>
        <w:pStyle w:val="Author"/>
      </w:pPr>
    </w:p>
    <w:p w14:paraId="331A2137" w14:textId="77777777" w:rsidR="00F72A67" w:rsidRDefault="00F72A67">
      <w:pPr>
        <w:pStyle w:val="Author"/>
      </w:pPr>
    </w:p>
    <w:p w14:paraId="0C78FC52" w14:textId="77777777" w:rsidR="00CA02BC" w:rsidRDefault="00CA02BC" w:rsidP="00122502">
      <w:pPr>
        <w:rPr>
          <w:rFonts w:ascii="Verdana" w:hAnsi="Verdana"/>
        </w:rPr>
      </w:pPr>
    </w:p>
    <w:p w14:paraId="18749841" w14:textId="77777777" w:rsidR="00CA02BC" w:rsidRDefault="00CA02BC" w:rsidP="00BF5205">
      <w:pPr>
        <w:ind w:firstLine="720"/>
        <w:rPr>
          <w:rFonts w:ascii="Verdana" w:hAnsi="Verdana"/>
        </w:rPr>
      </w:pPr>
    </w:p>
    <w:p w14:paraId="6B943A35" w14:textId="77777777" w:rsidR="00BF5205" w:rsidRDefault="00BF5205" w:rsidP="00122502">
      <w:pPr>
        <w:rPr>
          <w:rFonts w:ascii="Verdana" w:hAnsi="Verdana"/>
          <w:b/>
          <w:bCs/>
        </w:rPr>
      </w:pPr>
      <w:r>
        <w:rPr>
          <w:rFonts w:ascii="Verdana" w:hAnsi="Verdana"/>
          <w:b/>
          <w:bCs/>
        </w:rPr>
        <w:t xml:space="preserve">Micheal P. Taylor &amp; </w:t>
      </w:r>
    </w:p>
    <w:p w14:paraId="776A4165" w14:textId="7A1AA761" w:rsidR="00F72A67" w:rsidRPr="008F42AF" w:rsidRDefault="00BF5205" w:rsidP="00122502">
      <w:pPr>
        <w:rPr>
          <w:rFonts w:ascii="Verdana" w:hAnsi="Verdana"/>
          <w:b/>
          <w:bCs/>
        </w:rPr>
      </w:pPr>
      <w:r>
        <w:rPr>
          <w:rFonts w:ascii="Verdana" w:hAnsi="Verdana"/>
          <w:b/>
          <w:bCs/>
        </w:rPr>
        <w:t>Rosemary Ricciardelli</w:t>
      </w:r>
    </w:p>
    <w:p w14:paraId="425BB27B" w14:textId="77777777" w:rsidR="00A41B88" w:rsidRDefault="00CA02BC" w:rsidP="00CA02BC">
      <w:r w:rsidRPr="00691942">
        <w:rPr>
          <w:rFonts w:ascii="Verdana" w:hAnsi="Verdana"/>
          <w:noProof/>
        </w:rPr>
        <w:drawing>
          <wp:anchor distT="0" distB="0" distL="114300" distR="114300" simplePos="0" relativeHeight="251658240" behindDoc="0" locked="0" layoutInCell="1" allowOverlap="1" wp14:anchorId="470FB6AD" wp14:editId="40DFE177">
            <wp:simplePos x="0" y="0"/>
            <wp:positionH relativeFrom="column">
              <wp:posOffset>-1186815</wp:posOffset>
            </wp:positionH>
            <wp:positionV relativeFrom="paragraph">
              <wp:posOffset>451485</wp:posOffset>
            </wp:positionV>
            <wp:extent cx="7837170" cy="1832610"/>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37170" cy="1832610"/>
                    </a:xfrm>
                    <a:prstGeom prst="rect">
                      <a:avLst/>
                    </a:prstGeom>
                  </pic:spPr>
                </pic:pic>
              </a:graphicData>
            </a:graphic>
            <wp14:sizeRelH relativeFrom="page">
              <wp14:pctWidth>0</wp14:pctWidth>
            </wp14:sizeRelH>
            <wp14:sizeRelV relativeFrom="page">
              <wp14:pctHeight>0</wp14:pctHeight>
            </wp14:sizeRelV>
          </wp:anchor>
        </w:drawing>
      </w:r>
      <w:r w:rsidR="002F691F">
        <w:br w:type="page"/>
      </w:r>
    </w:p>
    <w:p w14:paraId="25344FC9" w14:textId="10CB72A4" w:rsidR="00A41B88" w:rsidRDefault="00A41B88" w:rsidP="00FA2671">
      <w:pPr>
        <w:spacing w:line="360" w:lineRule="auto"/>
        <w:contextualSpacing/>
        <w:sectPr w:rsidR="00A41B88" w:rsidSect="008C41A3">
          <w:headerReference w:type="first" r:id="rId13"/>
          <w:footerReference w:type="first" r:id="rId14"/>
          <w:pgSz w:w="12240" w:h="15840"/>
          <w:pgMar w:top="2520" w:right="1800" w:bottom="806" w:left="1800" w:header="720" w:footer="720" w:gutter="0"/>
          <w:pgNumType w:fmt="numberInDash" w:start="3"/>
          <w:cols w:space="720"/>
          <w:titlePg/>
          <w:docGrid w:linePitch="360"/>
        </w:sectPr>
      </w:pPr>
    </w:p>
    <w:p w14:paraId="62E59035" w14:textId="6183643C" w:rsidR="00FA2671" w:rsidRPr="00EC7A16" w:rsidRDefault="00FA2671" w:rsidP="00EC7A16">
      <w:pPr>
        <w:pStyle w:val="H1"/>
      </w:pPr>
      <w:r w:rsidRPr="00EC7A16">
        <w:lastRenderedPageBreak/>
        <w:t xml:space="preserve">ABOUT COMMUNITY CORRECTIONS IN </w:t>
      </w:r>
      <w:r w:rsidR="00BF5205" w:rsidRPr="00EC7A16">
        <w:t>CANADA</w:t>
      </w:r>
    </w:p>
    <w:p w14:paraId="1DAF46F5" w14:textId="4F2375A1" w:rsidR="00FA2671" w:rsidRDefault="00FA2671" w:rsidP="00FA2671">
      <w:pPr>
        <w:pStyle w:val="Author"/>
        <w:spacing w:line="360" w:lineRule="auto"/>
        <w:contextualSpacing/>
        <w:rPr>
          <w:rFonts w:asciiTheme="majorHAnsi" w:eastAsiaTheme="minorEastAsia" w:hAnsiTheme="majorHAnsi"/>
          <w:b w:val="0"/>
          <w:color w:val="000000" w:themeColor="text1"/>
          <w:sz w:val="10"/>
          <w:szCs w:val="10"/>
        </w:rPr>
      </w:pPr>
    </w:p>
    <w:p w14:paraId="1E64854C" w14:textId="115A65FE" w:rsidR="007C58A9" w:rsidRDefault="007C58A9" w:rsidP="00FA2671">
      <w:pPr>
        <w:pStyle w:val="Author"/>
        <w:spacing w:line="360" w:lineRule="auto"/>
        <w:contextualSpacing/>
        <w:rPr>
          <w:rFonts w:asciiTheme="majorHAnsi" w:eastAsiaTheme="minorEastAsia" w:hAnsiTheme="majorHAnsi"/>
          <w:b w:val="0"/>
          <w:color w:val="000000" w:themeColor="text1"/>
          <w:sz w:val="10"/>
          <w:szCs w:val="10"/>
        </w:rPr>
      </w:pPr>
    </w:p>
    <w:p w14:paraId="68B349F2" w14:textId="478B904E" w:rsidR="00500CFF" w:rsidRDefault="00EC7A16" w:rsidP="00EC7A16">
      <w:pPr>
        <w:ind w:left="-5" w:right="10"/>
      </w:pPr>
      <w:r>
        <w:t>Canada is a geographically large country consisting of ten provinces and three territories with a population of roughly 41 million people</w:t>
      </w:r>
      <w:r w:rsidR="00F4243E">
        <w:t xml:space="preserve"> </w:t>
      </w:r>
      <w:r>
        <w:fldChar w:fldCharType="begin"/>
      </w:r>
      <w:r w:rsidR="00C478A6">
        <w:instrText xml:space="preserve"> ADDIN ZOTERO_ITEM CSL_CITATION {"citationID":"pXxfjx7n","properties":{"formattedCitation":"(Statistics Canada, 2025d)","plainCitation":"(Statistics Canada, 2025d)","noteIndex":0},"citationItems":[{"id":30837,"uris":["http://zotero.org/users/17128492/items/CISS6QLH","http://zotero.org/users/17128492/items/X9IXDM7Y"],"itemData":{"id":30837,"type":"dataset","abstract":"Estimated number of persons by quarter of a year and by year, Canada, provinces and territories.","DOI":"10.25318/1710000901-ENG","note":"section: 2024-12-17\nCitation Key: StatisticsCanada2025","publisher":"Government of Canada","source":"DOI.org (Datacite)","title":"Population estimates, quarterly","URL":"https://www150.statcan.gc.ca/t1/tbl1/en/tv.action?pid=1710000901","author":[{"literal":"Statistics Canada"}],"accessed":{"date-parts":[["2025",11,5]]},"issued":{"date-parts":[["2025"]]},"citation-key":"StatisticsCanada2025"}}],"schema":"https://github.com/citation-style-language/schema/raw/master/csl-citation.json"} </w:instrText>
      </w:r>
      <w:r>
        <w:fldChar w:fldCharType="separate"/>
      </w:r>
      <w:r w:rsidR="00C478A6" w:rsidRPr="00C478A6">
        <w:t>(Statistics Canada, 2025d)</w:t>
      </w:r>
      <w:r>
        <w:fldChar w:fldCharType="end"/>
      </w:r>
      <w:r>
        <w:t xml:space="preserve">. Since Confederation in 1867, </w:t>
      </w:r>
      <w:r w:rsidR="00F75A6E">
        <w:t>Canada</w:t>
      </w:r>
      <w:r>
        <w:t xml:space="preserve"> has maintained a unique constitutional division of powers that fundamentally shapes its approach to community corrections. The </w:t>
      </w:r>
      <w:r>
        <w:rPr>
          <w:i/>
        </w:rPr>
        <w:t>Constitution Act, 1867</w:t>
      </w:r>
      <w:r>
        <w:t xml:space="preserve"> allocates criminal law jurisdiction to the federal Parliament while assigning the administration of justice to the provinces and territories. </w:t>
      </w:r>
      <w:r w:rsidR="00500CFF" w:rsidRPr="00500CFF">
        <w:t>Bourgon</w:t>
      </w:r>
      <w:r w:rsidR="00500CFF">
        <w:t xml:space="preserve"> (</w:t>
      </w:r>
      <w:r w:rsidR="00500CFF" w:rsidRPr="00500CFF">
        <w:t>2024</w:t>
      </w:r>
      <w:r w:rsidR="00500CFF">
        <w:t>) provide</w:t>
      </w:r>
      <w:r w:rsidR="00F75A6E">
        <w:t>d</w:t>
      </w:r>
      <w:r w:rsidR="00500CFF">
        <w:t xml:space="preserve"> a substantive overview of the </w:t>
      </w:r>
      <w:r w:rsidR="0009407B">
        <w:t xml:space="preserve">complex legal framework. </w:t>
      </w:r>
      <w:r w:rsidR="00500CFF" w:rsidRPr="00500CFF">
        <w:t xml:space="preserve">The </w:t>
      </w:r>
      <w:r w:rsidR="00500CFF" w:rsidRPr="001E1C31">
        <w:rPr>
          <w:i/>
          <w:iCs/>
        </w:rPr>
        <w:t>Criminal Code of Canada</w:t>
      </w:r>
      <w:r w:rsidR="00500CFF" w:rsidRPr="00500CFF">
        <w:t xml:space="preserve"> (1985) is the federal statute that defines most criminal offences and sets out core criminal procedures</w:t>
      </w:r>
      <w:r w:rsidR="00F75A6E">
        <w:t xml:space="preserve">. The Code is </w:t>
      </w:r>
      <w:r w:rsidR="0009407B">
        <w:t xml:space="preserve">periodically revised to </w:t>
      </w:r>
      <w:r w:rsidR="00500CFF" w:rsidRPr="00500CFF">
        <w:t xml:space="preserve">reflect societal change and refine the justice process. Although </w:t>
      </w:r>
      <w:r w:rsidR="00F75A6E">
        <w:t xml:space="preserve">the </w:t>
      </w:r>
      <w:r w:rsidR="00500CFF" w:rsidRPr="00500CFF">
        <w:t>Code contains the bulk of Canadian criminal law, some federal statutes create additional offences</w:t>
      </w:r>
      <w:r w:rsidR="000D72B0">
        <w:t xml:space="preserve"> outside its scope</w:t>
      </w:r>
      <w:r w:rsidR="00500CFF" w:rsidRPr="00500CFF">
        <w:t xml:space="preserve">, including the </w:t>
      </w:r>
      <w:r w:rsidR="00500CFF" w:rsidRPr="001E1C31">
        <w:rPr>
          <w:i/>
          <w:iCs/>
        </w:rPr>
        <w:t>Firearms Act</w:t>
      </w:r>
      <w:r w:rsidR="00500CFF" w:rsidRPr="00500CFF">
        <w:t xml:space="preserve"> (1995), the </w:t>
      </w:r>
      <w:r w:rsidR="00500CFF" w:rsidRPr="001E1C31">
        <w:rPr>
          <w:i/>
          <w:iCs/>
        </w:rPr>
        <w:t>Controlled Drugs and Substances Act</w:t>
      </w:r>
      <w:r w:rsidR="00500CFF" w:rsidRPr="00500CFF">
        <w:t xml:space="preserve"> (1996), and the </w:t>
      </w:r>
      <w:r w:rsidR="00500CFF" w:rsidRPr="001E1C31">
        <w:rPr>
          <w:i/>
          <w:iCs/>
        </w:rPr>
        <w:t>Youth Criminal Justice Act</w:t>
      </w:r>
      <w:r w:rsidR="00500CFF" w:rsidRPr="00500CFF">
        <w:t xml:space="preserve"> (2002)</w:t>
      </w:r>
      <w:r w:rsidR="00F75A6E">
        <w:t xml:space="preserve">, the latter </w:t>
      </w:r>
      <w:r w:rsidR="00813326">
        <w:t xml:space="preserve">differentiating </w:t>
      </w:r>
      <w:r w:rsidR="00F75A6E">
        <w:t xml:space="preserve">adult (age 18+) and youth </w:t>
      </w:r>
      <w:r w:rsidR="00813326">
        <w:t>12-17 years of age.</w:t>
      </w:r>
    </w:p>
    <w:p w14:paraId="1217F268" w14:textId="77777777" w:rsidR="001042B9" w:rsidRDefault="001042B9" w:rsidP="00EC7A16">
      <w:pPr>
        <w:ind w:left="-5" w:right="10"/>
      </w:pPr>
    </w:p>
    <w:p w14:paraId="5DFBCFDF" w14:textId="675F41A0" w:rsidR="0087369C" w:rsidRDefault="0087369C" w:rsidP="0087369C">
      <w:pPr>
        <w:ind w:left="-5" w:right="10"/>
      </w:pPr>
      <w:r>
        <w:t xml:space="preserve">The </w:t>
      </w:r>
      <w:r w:rsidR="00EC7A16">
        <w:t>constitutional framework</w:t>
      </w:r>
      <w:r>
        <w:t xml:space="preserve"> between the federal and provincial/territorial jurisdictions </w:t>
      </w:r>
      <w:r w:rsidR="00EC7A16">
        <w:t>creates a complex, multi-layered system of community supervision</w:t>
      </w:r>
      <w:r w:rsidR="00F75A6E">
        <w:t xml:space="preserve">, with differences from systems in other countries </w:t>
      </w:r>
      <w:r w:rsidR="00EC7A16">
        <w:fldChar w:fldCharType="begin"/>
      </w:r>
      <w:r w:rsidR="00F4243E">
        <w:instrText xml:space="preserve"> ADDIN ZOTERO_ITEM CSL_CITATION {"citationID":"JzHheDs1","properties":{"formattedCitation":"(Office of the Correctional Investigator, 2019)","plainCitation":"(Office of the Correctional Investigator, 2019)","noteIndex":0},"citationItems":[{"id":30311,"uris":["http://zotero.org/users/17128492/items/K2Q3TKDG"],"itemData":{"id":30311,"type":"report","note":"Citation Key: zotero-item-30311","page":"1-33","title":"Resourcing, Performance, and Value for Investment in Federal Corrections: A Comparative Review","URL":"https://oci-bec.gc.ca/en/content/resourcing-performance-and-value-investment-federal-corrections-comparative-review","author":[{"literal":"Office of the Correctional Investigator"}],"accessed":{"date-parts":[["2025",10,19]]},"issued":{"date-parts":[["2019",2]]},"citation-key":"zotero-item-30311"}}],"schema":"https://github.com/citation-style-language/schema/raw/master/csl-citation.json"} </w:instrText>
      </w:r>
      <w:r w:rsidR="00EC7A16">
        <w:fldChar w:fldCharType="separate"/>
      </w:r>
      <w:r w:rsidR="00F4243E" w:rsidRPr="00F4243E">
        <w:t>(Office of the Correctional Investigator, 2019)</w:t>
      </w:r>
      <w:r w:rsidR="00EC7A16">
        <w:fldChar w:fldCharType="end"/>
      </w:r>
      <w:r w:rsidR="00EC7A16">
        <w:t>.</w:t>
      </w:r>
      <w:r>
        <w:t xml:space="preserve"> The federal government, through </w:t>
      </w:r>
      <w:r w:rsidRPr="00813326">
        <w:rPr>
          <w:i/>
          <w:iCs/>
        </w:rPr>
        <w:t>Correctional Service of Canada</w:t>
      </w:r>
      <w:r>
        <w:t xml:space="preserve"> (CSC) and the </w:t>
      </w:r>
      <w:r w:rsidRPr="00813326">
        <w:rPr>
          <w:i/>
          <w:iCs/>
        </w:rPr>
        <w:t>Parole Board of Canada</w:t>
      </w:r>
      <w:r>
        <w:t xml:space="preserve"> (PBC), supervises individuals serving </w:t>
      </w:r>
      <w:r w:rsidR="00277A86">
        <w:t xml:space="preserve">imprisonment </w:t>
      </w:r>
      <w:r>
        <w:t>sentences of two years or more.</w:t>
      </w:r>
      <w:r w:rsidR="00813326">
        <w:t xml:space="preserve"> </w:t>
      </w:r>
      <w:r>
        <w:t xml:space="preserve">Provincial and territorial correctional systems supervise those sentenced to custody terms of less than two years, as well as all individuals subject to probation orders, conditional sentences, and other community-based sanctions. </w:t>
      </w:r>
      <w:r w:rsidR="00813326">
        <w:t xml:space="preserve">Division is therefore bifurcated according </w:t>
      </w:r>
      <w:r w:rsidR="00F50E51">
        <w:t xml:space="preserve">to the length of prison sentence (less or more than </w:t>
      </w:r>
      <w:r w:rsidR="001C7D4E">
        <w:t>two</w:t>
      </w:r>
      <w:r w:rsidR="00F50E51">
        <w:t xml:space="preserve"> years) creating </w:t>
      </w:r>
      <w:r>
        <w:t xml:space="preserve">14 distinct correctional jurisdictions across Canada (one federal, ten </w:t>
      </w:r>
      <w:proofErr w:type="gramStart"/>
      <w:r>
        <w:t>provincial</w:t>
      </w:r>
      <w:proofErr w:type="gramEnd"/>
      <w:r>
        <w:t>, and three territorial</w:t>
      </w:r>
      <w:r w:rsidR="003637D3">
        <w:t>). E</w:t>
      </w:r>
      <w:r>
        <w:t xml:space="preserve">ach </w:t>
      </w:r>
      <w:r w:rsidR="001C7D4E">
        <w:t xml:space="preserve">has their </w:t>
      </w:r>
      <w:r>
        <w:t xml:space="preserve">own legislation, policies, organizational structures, and resource allocations </w:t>
      </w:r>
      <w:r>
        <w:fldChar w:fldCharType="begin"/>
      </w:r>
      <w:r>
        <w:instrText xml:space="preserve"> ADDIN ZOTERO_ITEM CSL_CITATION {"citationID":"mXAt5bWf","properties":{"formattedCitation":"(Bourgon, 2024)","plainCitation":"(Bourgon, 2024)","noteIndex":0},"citationItems":[{"id":28017,"uris":["http://zotero.org/users/17128492/items/CAIZI9TN"],"itemData":{"id":28017,"type":"chapter","collection-number":"15","container-title":"The Routledge Handbook on Global Community Corrections","edition":"1","event-place":"London","ISBN":"978-1-003-30514-9","language":"en","note":"DOI: 10.4324/9781003305149-22\nCitation Key: Bourgon2024","number-of-volumes":"15","page":"315-329","publisher":"Routledge","publisher-place":"London","source":"DOI.org (Crossref)","title":"Community Corrections in Canada","URL":"https://www.taylorfrancis.com/books/9781003305149/chapters/10.4324/9781003305149-22","container-author":[{"family":"Durnescu","given":"Ioan"},{"family":"Byrne","given":"James M."},{"family":"Mackey","given":"Benjamin J."},{"family":"Taxman","given":"Faye S."}],"author":[{"family":"Bourgon","given":"Guy"}],"accessed":{"date-parts":[["2025",10,18]]},"issued":{"date-parts":[["2024",4,30]]},"citation-key":"Bourgon2024"}}],"schema":"https://github.com/citation-style-language/schema/raw/master/csl-citation.json"} </w:instrText>
      </w:r>
      <w:r>
        <w:fldChar w:fldCharType="separate"/>
      </w:r>
      <w:r w:rsidRPr="00F4243E">
        <w:t>(Bourgon, 2024)</w:t>
      </w:r>
      <w:r>
        <w:fldChar w:fldCharType="end"/>
      </w:r>
      <w:r>
        <w:t xml:space="preserve">. </w:t>
      </w:r>
      <w:r w:rsidR="009F6156">
        <w:t>T</w:t>
      </w:r>
      <w:r w:rsidR="00575247">
        <w:t xml:space="preserve">he </w:t>
      </w:r>
      <w:r w:rsidR="00713A78">
        <w:t xml:space="preserve">multiple </w:t>
      </w:r>
      <w:r w:rsidR="00673C82">
        <w:t xml:space="preserve">systems </w:t>
      </w:r>
      <w:r w:rsidR="009F6156">
        <w:t xml:space="preserve">have been criticized as </w:t>
      </w:r>
      <w:r w:rsidR="00D60678" w:rsidRPr="00D60678">
        <w:t>“archaic”</w:t>
      </w:r>
      <w:r w:rsidR="0002607A">
        <w:t xml:space="preserve">, </w:t>
      </w:r>
      <w:r w:rsidR="009F6156">
        <w:t xml:space="preserve">lacking </w:t>
      </w:r>
      <w:r w:rsidR="00713A78">
        <w:t xml:space="preserve">coherence </w:t>
      </w:r>
      <w:r w:rsidR="009F6156">
        <w:t xml:space="preserve">and not </w:t>
      </w:r>
      <w:r w:rsidR="00575247">
        <w:t xml:space="preserve">keeping </w:t>
      </w:r>
      <w:r>
        <w:t>“</w:t>
      </w:r>
      <w:r w:rsidRPr="003950A0">
        <w:t>pace with social change</w:t>
      </w:r>
      <w:r>
        <w:t xml:space="preserve">” </w:t>
      </w:r>
      <w:r>
        <w:fldChar w:fldCharType="begin"/>
      </w:r>
      <w:r>
        <w:instrText xml:space="preserve"> ADDIN ZOTERO_ITEM CSL_CITATION {"citationID":"ncICezBc","properties":{"formattedCitation":"(Department of Justice, 2019, p. 9)","plainCitation":"(Department of Justice, 2019, p. 9)","noteIndex":0},"citationItems":[{"id":27923,"uris":["http://zotero.org/users/17128492/items/MDQ3M2KP"],"itemData":{"id":27923,"type":"report","event-place":"Ottawa","language":"en","note":"OCLC: 1125967896\n978-0-660-31735-9\nCitation Key: DepartmentOfJustice2019","number":"J4-94/2019E-PDF","publisher-place":"Ottawa","source":"Open WorldCat","title":"On the Review of Canada’s Criminal Justice System","URL":"https://publications.gc.ca/site/eng/9.875820/publication.html","author":[{"literal":"Department of Justice"}],"accessed":{"date-parts":[["2025",10,18]]},"issued":{"date-parts":[["2019"]]},"citation-key":"DepartmentOfJustice2019"},"locator":"9","label":"page"}],"schema":"https://github.com/citation-style-language/schema/raw/master/csl-citation.json"} </w:instrText>
      </w:r>
      <w:r>
        <w:fldChar w:fldCharType="separate"/>
      </w:r>
      <w:r w:rsidRPr="00F4243E">
        <w:t>(Department of Justice, 2019, p. 9)</w:t>
      </w:r>
      <w:r>
        <w:fldChar w:fldCharType="end"/>
      </w:r>
      <w:r w:rsidR="006A7258">
        <w:t>.</w:t>
      </w:r>
      <w:r w:rsidR="0002607A">
        <w:t xml:space="preserve"> </w:t>
      </w:r>
      <w:r w:rsidR="0002607A" w:rsidRPr="0002607A">
        <w:t xml:space="preserve">In practice, critiques </w:t>
      </w:r>
      <w:r w:rsidR="0002607A">
        <w:t xml:space="preserve">also include </w:t>
      </w:r>
      <w:r w:rsidR="0013770D">
        <w:t xml:space="preserve">a </w:t>
      </w:r>
      <w:r w:rsidR="0002607A" w:rsidRPr="0002607A">
        <w:t xml:space="preserve">harsh </w:t>
      </w:r>
      <w:r w:rsidR="0013770D" w:rsidRPr="0002607A">
        <w:t>dependen</w:t>
      </w:r>
      <w:r w:rsidR="0013770D">
        <w:t xml:space="preserve">ce </w:t>
      </w:r>
      <w:r w:rsidR="0002607A" w:rsidRPr="0002607A">
        <w:t>upon punishment and incarceration with insufficient focus on rehabilitation or community-based sentencing</w:t>
      </w:r>
      <w:r w:rsidR="0013770D">
        <w:t>.</w:t>
      </w:r>
      <w:r w:rsidR="0002607A" w:rsidRPr="0002607A">
        <w:t xml:space="preserve"> </w:t>
      </w:r>
    </w:p>
    <w:p w14:paraId="396DE255" w14:textId="2062741B" w:rsidR="0087369C" w:rsidRDefault="0087369C" w:rsidP="0087369C">
      <w:pPr>
        <w:ind w:left="-5" w:right="10"/>
      </w:pPr>
    </w:p>
    <w:p w14:paraId="1BC8F25E" w14:textId="4C657649" w:rsidR="00A9436A" w:rsidRDefault="0087369C" w:rsidP="00F03744">
      <w:pPr>
        <w:ind w:left="-5" w:right="10"/>
      </w:pPr>
      <w:r w:rsidRPr="0087369C">
        <w:t xml:space="preserve">Historically, Canadian parole emerged from a distinctive vision grounded in rehabilitation principles. </w:t>
      </w:r>
      <w:r w:rsidR="007D555E">
        <w:t xml:space="preserve">The PBC’s </w:t>
      </w:r>
      <w:r w:rsidR="00EC7A16">
        <w:t>historical narrative traces parole's origins to early twentieth-century Canadian reformatory movements</w:t>
      </w:r>
      <w:r w:rsidR="00134745">
        <w:t xml:space="preserve">. </w:t>
      </w:r>
      <w:r w:rsidR="005A533A" w:rsidRPr="005A533A">
        <w:t xml:space="preserve">In 1899, the </w:t>
      </w:r>
      <w:r w:rsidR="005A533A" w:rsidRPr="005A533A">
        <w:rPr>
          <w:i/>
          <w:iCs/>
        </w:rPr>
        <w:t>Ticket of Leave Act</w:t>
      </w:r>
      <w:r w:rsidR="005A533A" w:rsidRPr="005A533A">
        <w:t xml:space="preserve"> established the foundation of parole’s early days and was largely modeled on British verbiage.</w:t>
      </w:r>
      <w:r w:rsidR="00161A24">
        <w:t xml:space="preserve"> </w:t>
      </w:r>
      <w:r w:rsidR="004B2164" w:rsidRPr="004B2164">
        <w:t xml:space="preserve">Attempts to identify young prisoners “of good character” who might benefit from a second chance if released </w:t>
      </w:r>
      <w:r w:rsidR="005D04A2">
        <w:t>prior to their warrant expiration</w:t>
      </w:r>
      <w:r w:rsidR="004B2164" w:rsidRPr="004B2164">
        <w:t xml:space="preserve"> and</w:t>
      </w:r>
      <w:r w:rsidR="005D04A2">
        <w:t>, instead,</w:t>
      </w:r>
      <w:r w:rsidR="004B2164" w:rsidRPr="004B2164">
        <w:t xml:space="preserve"> given another opportunity </w:t>
      </w:r>
      <w:r w:rsidR="005D04A2">
        <w:t xml:space="preserve">to </w:t>
      </w:r>
      <w:r w:rsidR="004B2164" w:rsidRPr="004B2164">
        <w:t>help define an early goal of supporting structured reintegration</w:t>
      </w:r>
      <w:r w:rsidR="00EC7A16">
        <w:t xml:space="preserve"> </w:t>
      </w:r>
      <w:r w:rsidR="00EC7A16">
        <w:fldChar w:fldCharType="begin"/>
      </w:r>
      <w:r w:rsidR="00F4243E">
        <w:instrText xml:space="preserve"> ADDIN ZOTERO_ITEM CSL_CITATION {"citationID":"VKRYsoF6","properties":{"formattedCitation":"(Parole Board of Canada, 2018)","plainCitation":"(Parole Board of Canada, 2018)","noteIndex":0},"citationItems":[{"id":28023,"uris":["http://zotero.org/users/17128492/items/TLBG4K76"],"itemData":{"id":28023,"type":"report","note":"Citation Key: ParoleBoardOfCanada2018","publisher":"Government of Canada","title":"History of Parole in Canada","URL":"https://www.canada.ca/en/parole-board/corporate/history-of-parole-in-canada.html","author":[{"literal":"Parole Board of Canada"}],"issued":{"date-parts":[["2018"]]},"citation-key":"ParoleBoardOfCanada2018"}}],"schema":"https://github.com/citation-style-language/schema/raw/master/csl-citation.json"} </w:instrText>
      </w:r>
      <w:r w:rsidR="00EC7A16">
        <w:fldChar w:fldCharType="separate"/>
      </w:r>
      <w:r w:rsidR="00F4243E" w:rsidRPr="00F4243E">
        <w:t>(Parole Board of Canada, 2018)</w:t>
      </w:r>
      <w:r w:rsidR="00EC7A16">
        <w:fldChar w:fldCharType="end"/>
      </w:r>
      <w:r w:rsidR="00EC7A16">
        <w:t xml:space="preserve">. </w:t>
      </w:r>
      <w:r w:rsidR="00F03744" w:rsidRPr="00F03744">
        <w:t xml:space="preserve">However, </w:t>
      </w:r>
      <w:r w:rsidR="005D04A2">
        <w:t xml:space="preserve">with </w:t>
      </w:r>
      <w:r w:rsidR="00F03744" w:rsidRPr="00F03744">
        <w:t xml:space="preserve">the 1959 </w:t>
      </w:r>
      <w:r w:rsidR="00F03744" w:rsidRPr="007854DD">
        <w:rPr>
          <w:i/>
          <w:iCs/>
        </w:rPr>
        <w:t>Parole Act</w:t>
      </w:r>
      <w:r w:rsidR="005D04A2">
        <w:t>,</w:t>
      </w:r>
      <w:r w:rsidR="00F03744" w:rsidRPr="00F03744">
        <w:t xml:space="preserve"> modern practices were formalized and clearly differentiated from more punitive models, though their application </w:t>
      </w:r>
      <w:r w:rsidR="005D04A2">
        <w:t>was</w:t>
      </w:r>
      <w:r w:rsidR="00F03744" w:rsidRPr="00F03744">
        <w:t xml:space="preserve"> uneven and </w:t>
      </w:r>
      <w:r w:rsidR="005D04A2">
        <w:t xml:space="preserve">remain </w:t>
      </w:r>
      <w:r w:rsidR="00F03744" w:rsidRPr="00F03744">
        <w:t>politically contested.</w:t>
      </w:r>
      <w:r w:rsidR="00F03744">
        <w:t xml:space="preserve"> </w:t>
      </w:r>
      <w:r w:rsidR="005D04A2">
        <w:t xml:space="preserve">Around the same time, </w:t>
      </w:r>
      <w:r w:rsidR="00F03744" w:rsidRPr="00F03744">
        <w:t>Canada’s early probation law emerged</w:t>
      </w:r>
      <w:r w:rsidR="005D04A2">
        <w:t xml:space="preserve"> to </w:t>
      </w:r>
      <w:r w:rsidR="00F03744" w:rsidRPr="00F03744">
        <w:t>follow calls</w:t>
      </w:r>
      <w:r w:rsidR="005D04A2">
        <w:t xml:space="preserve"> denoting </w:t>
      </w:r>
      <w:r w:rsidR="00F03744" w:rsidRPr="00F03744">
        <w:t>how incarceration was exceptionally restrictive by international standards.</w:t>
      </w:r>
      <w:r w:rsidR="00F03744">
        <w:t xml:space="preserve"> </w:t>
      </w:r>
      <w:r w:rsidR="00A4409A">
        <w:t xml:space="preserve">Until </w:t>
      </w:r>
      <w:r w:rsidR="00942951" w:rsidRPr="00942951">
        <w:t>1969</w:t>
      </w:r>
      <w:r w:rsidR="00F377DD">
        <w:t xml:space="preserve">, </w:t>
      </w:r>
      <w:r w:rsidR="00942951" w:rsidRPr="00942951">
        <w:t xml:space="preserve">probation was limited to first-time </w:t>
      </w:r>
      <w:r w:rsidR="005D04A2">
        <w:t>prisoners</w:t>
      </w:r>
      <w:r w:rsidR="00942951" w:rsidRPr="00942951">
        <w:t xml:space="preserve"> and to offences carrying no more than two years’ imprisonment unless</w:t>
      </w:r>
      <w:r w:rsidR="00447C55">
        <w:t>—</w:t>
      </w:r>
      <w:r w:rsidR="00C578CE">
        <w:t xml:space="preserve">Canada </w:t>
      </w:r>
      <w:r w:rsidR="00447C55">
        <w:t xml:space="preserve">being a </w:t>
      </w:r>
      <w:r w:rsidR="00842108">
        <w:t>C</w:t>
      </w:r>
      <w:r w:rsidR="00447C55">
        <w:t>ommonwealth nation—</w:t>
      </w:r>
      <w:r w:rsidR="00942951" w:rsidRPr="00942951">
        <w:t>the Crown consented</w:t>
      </w:r>
      <w:r w:rsidR="00942951">
        <w:t xml:space="preserve"> </w:t>
      </w:r>
      <w:r w:rsidR="00A9436A">
        <w:fldChar w:fldCharType="begin"/>
      </w:r>
      <w:r w:rsidR="00A9436A">
        <w:instrText xml:space="preserve"> ADDIN ZOTERO_ITEM CSL_CITATION {"citationID":"ERPzWSpC","properties":{"formattedCitation":"(Hagan &amp; Leon, 1980; Weinrath, 2020)","plainCitation":"(Hagan &amp; Leon, 1980; Weinrath, 2020)","noteIndex":0},"citationItems":[{"id":29883,"uris":["http://zotero.org/users/17128492/items/X8IYT93J"],"itemData":{"id":29883,"type":"article-journal","abstract":"ThispaperdevelopsanargumentthatCanadais philosophicallayndhistoricallymore inclinedthantheUnitedStatestowarda Burkeanmodelofcrimecontrol.Canadianeffortsatlawreform,particularliyntheareasofjuvenileandadultprobation,mayseeminconsistentwiththis hypothesis.However,wefindthatjuvenilecourtsandtheirprobationactivitieswereslowertodevelop in CanadathanintheUnitedStates.Similarly,whenthecontentsof adultprobatio lnawsinthetwo countriesarecomparedt,heCanadianprovisionasrefoundto havebeenmorerestrictive.And,when weshiftourattentionbackto the useofjuvenileprobatio innthetwocountries,wefindsomeindicationthattheCanadianuseof informalprocedurews aspotentiallymoreintrusivea,ndlessattentiveto issuesof dueprocess.Weconcludethatthesedifferencesof philosophyandhistorysuggestthe dangersof precipitouslaypplyingAmericanoranyotherforeignframeworktsotheCanadianscene.","container-title":"Canadian Journal of Sociology / Cahiers canadiens de sociologie","DOI":"10.2307/3340176","ISSN":"03186431","issue":"3","journalAbbreviation":"Canadian Journal of Sociology / Cahiers canadiens de sociologie","language":"en","note":"Citation Key: Hagan1980a\nnumber: 3","page":"235","source":"DOI.org (Crossref)","title":"The Rehabilitation of Law: A Social-Historical Comparison of Probation in Canada and the United States","title-short":"The Rehabilitation of Law","volume":"5","author":[{"family":"Hagan","given":"John"},{"family":"Leon","given":"Jeffrey"}],"issued":{"date-parts":[["1980"]]},"citation-key":"Hagan1980a"}},{"id":27947,"uris":["http://zotero.org/users/17128492/items/PDNXX3GY"],"itemData":{"id":27947,"type":"chapter","container-title":"ACC adult corrections in Canada","edition":"2nd","event-place":"Whitby, ON","ISBN":"978-1-897160-93-0","language":"eng","note":"Citation Key: Weinrath2020a","page":"87-115","publisher":"De Sitter Publications","publisher-place":"Whitby, ON","title":"Probation and Community Corrections","author":[{"family":"Weinrath","given":"Michael"}],"editor":[{"family":"Weinrath","given":"Michael"},{"family":"Winterdyk","given":"John"}],"issued":{"date-parts":[["2020"]]},"citation-key":"Weinrath2020a"}}],"schema":"https://github.com/citation-style-language/schema/raw/master/csl-citation.json"} </w:instrText>
      </w:r>
      <w:r w:rsidR="00A9436A">
        <w:fldChar w:fldCharType="separate"/>
      </w:r>
      <w:r w:rsidR="00A9436A" w:rsidRPr="00F4243E">
        <w:t>(Hagan &amp; Leon, 1980; Weinrath, 2020)</w:t>
      </w:r>
      <w:r w:rsidR="00A9436A">
        <w:fldChar w:fldCharType="end"/>
      </w:r>
      <w:r w:rsidR="00A9436A">
        <w:t xml:space="preserve">. </w:t>
      </w:r>
      <w:r w:rsidR="000E6C01" w:rsidRPr="000E6C01">
        <w:t>Th</w:t>
      </w:r>
      <w:r w:rsidR="005D04A2">
        <w:t>e</w:t>
      </w:r>
      <w:r w:rsidR="000E6C01" w:rsidRPr="000E6C01">
        <w:t xml:space="preserve"> long-standing resistance to broader probation use </w:t>
      </w:r>
      <w:r w:rsidR="00D2513E">
        <w:t xml:space="preserve">has since </w:t>
      </w:r>
      <w:r w:rsidR="000E6C01" w:rsidRPr="000E6C01">
        <w:t xml:space="preserve">shaped </w:t>
      </w:r>
      <w:r w:rsidR="005D04A2">
        <w:t xml:space="preserve">parole’s </w:t>
      </w:r>
      <w:r w:rsidR="000E6C01" w:rsidRPr="000E6C01">
        <w:t>evolution</w:t>
      </w:r>
      <w:r w:rsidR="005D04A2">
        <w:t xml:space="preserve">, which </w:t>
      </w:r>
      <w:r w:rsidR="000E6C01" w:rsidRPr="000E6C01">
        <w:t>contributes to a current downward trend</w:t>
      </w:r>
      <w:r w:rsidR="000E6C01">
        <w:t xml:space="preserve"> </w:t>
      </w:r>
      <w:r w:rsidR="00A9436A">
        <w:fldChar w:fldCharType="begin"/>
      </w:r>
      <w:r w:rsidR="00A9436A">
        <w:instrText xml:space="preserve"> ADDIN ZOTERO_ITEM CSL_CITATION {"citationID":"EfzCxEt6","properties":{"formattedCitation":"(Reid &amp; Cole, 2023)","plainCitation":"(Reid &amp; Cole, 2023)","noteIndex":0},"citationItems":[{"id":13917,"uris":["http://zotero.org/users/17128492/items/BW37M3D3"],"itemData":{"id":13917,"type":"article-journal","container-title":"Canadian journal of criminology and criminal justice = Revue canadienne de criminologie et justice pénale.","DOI":"10.3138/cjccj.2022-0035","ISSN":"1707-7753","issue":"2","note":"number: 2\nCitation Key: Reid2023","page":"37-58","title":"The Road Less Travelled: Probation Trends in Canada Over the Past 30 Years","volume":"65","author":[{"family":"Reid","given":"Andrew A."},{"family":"Cole","given":"David P."}],"issued":{"date-parts":[["2023"]]},"citation-key":"Reid2023"}}],"schema":"https://github.com/citation-style-language/schema/raw/master/csl-citation.json"} </w:instrText>
      </w:r>
      <w:r w:rsidR="00A9436A">
        <w:fldChar w:fldCharType="separate"/>
      </w:r>
      <w:r w:rsidR="00A9436A" w:rsidRPr="00F4243E">
        <w:t>(Reid &amp; Cole, 2023)</w:t>
      </w:r>
      <w:r w:rsidR="00A9436A">
        <w:fldChar w:fldCharType="end"/>
      </w:r>
      <w:r w:rsidR="00A9436A">
        <w:t xml:space="preserve">. </w:t>
      </w:r>
    </w:p>
    <w:p w14:paraId="57152563" w14:textId="77777777" w:rsidR="00A9436A" w:rsidRDefault="00A9436A" w:rsidP="0088660F">
      <w:pPr>
        <w:ind w:left="-5" w:right="10"/>
      </w:pPr>
    </w:p>
    <w:p w14:paraId="5E239972" w14:textId="22962E97" w:rsidR="007C58A9" w:rsidRDefault="007C58A9" w:rsidP="007C58A9">
      <w:pPr>
        <w:rPr>
          <w:rFonts w:eastAsiaTheme="minorEastAsia"/>
        </w:rPr>
      </w:pPr>
    </w:p>
    <w:p w14:paraId="1F3C06B6" w14:textId="77777777" w:rsidR="00EC7A16" w:rsidRPr="00FA2671" w:rsidRDefault="00EC7A16" w:rsidP="007C58A9">
      <w:pPr>
        <w:rPr>
          <w:rFonts w:eastAsiaTheme="minorEastAsia"/>
        </w:rPr>
      </w:pPr>
    </w:p>
    <w:p w14:paraId="6841DC13" w14:textId="77777777" w:rsidR="00FA2671" w:rsidRPr="000629C1" w:rsidRDefault="002625F6" w:rsidP="000629C1">
      <w:pPr>
        <w:pStyle w:val="Author"/>
        <w:rPr>
          <w:rFonts w:asciiTheme="majorHAnsi" w:hAnsiTheme="majorHAnsi"/>
          <w:color w:val="064272"/>
        </w:rPr>
      </w:pPr>
      <w:bookmarkStart w:id="0" w:name="_Toc408396851"/>
      <w:r w:rsidRPr="000629C1">
        <w:rPr>
          <w:rFonts w:asciiTheme="majorHAnsi" w:hAnsiTheme="majorHAnsi"/>
          <w:color w:val="064272"/>
        </w:rPr>
        <w:t>COMPOSITION OF OFFENDERS SUPERVISED IN THE COMMUNITY</w:t>
      </w:r>
      <w:bookmarkEnd w:id="0"/>
    </w:p>
    <w:p w14:paraId="47A48CB1" w14:textId="77777777" w:rsidR="00D8274E" w:rsidRDefault="00D8274E" w:rsidP="00D8274E">
      <w:pPr>
        <w:rPr>
          <w:rFonts w:eastAsiaTheme="minorEastAsia"/>
          <w:lang w:val="en-CA"/>
        </w:rPr>
      </w:pPr>
    </w:p>
    <w:p w14:paraId="38726257" w14:textId="6B779C38" w:rsidR="004D54C7" w:rsidRDefault="00B1728F" w:rsidP="00D8274E">
      <w:pPr>
        <w:rPr>
          <w:rFonts w:eastAsiaTheme="minorEastAsia"/>
          <w:lang w:val="en-CA"/>
        </w:rPr>
      </w:pPr>
      <w:r w:rsidRPr="00B1728F">
        <w:rPr>
          <w:rFonts w:eastAsiaTheme="minorEastAsia"/>
          <w:lang w:val="en-CA"/>
        </w:rPr>
        <w:t xml:space="preserve">Determining the composition of Canada’s adult community supervision population remains difficult due to fragmented jurisdictions and inconsistent reporting across correctional systems </w:t>
      </w:r>
      <w:r w:rsidR="001A22EE">
        <w:rPr>
          <w:rFonts w:eastAsiaTheme="minorEastAsia"/>
          <w:lang w:val="en-CA"/>
        </w:rPr>
        <w:fldChar w:fldCharType="begin"/>
      </w:r>
      <w:r w:rsidR="00F4243E">
        <w:rPr>
          <w:rFonts w:eastAsiaTheme="minorEastAsia"/>
          <w:lang w:val="en-CA"/>
        </w:rPr>
        <w:instrText xml:space="preserve"> ADDIN ZOTERO_ITEM CSL_CITATION {"citationID":"jPwqE190","properties":{"formattedCitation":"(Weinrath, 2020)","plainCitation":"(Weinrath, 2020)","noteIndex":0},"citationItems":[{"id":27947,"uris":["http://zotero.org/users/17128492/items/PDNXX3GY"],"itemData":{"id":27947,"type":"chapter","container-title":"ACC adult corrections in Canada","edition":"2nd","event-place":"Whitby, ON","ISBN":"978-1-897160-93-0","language":"eng","note":"Citation Key: Weinrath2020a","page":"87-115","publisher":"De Sitter Publications","publisher-place":"Whitby, ON","title":"Probation and Community Corrections","author":[{"family":"Weinrath","given":"Michael"}],"editor":[{"family":"Weinrath","given":"Michael"},{"family":"Winterdyk","given":"John"}],"issued":{"date-parts":[["2020"]]},"citation-key":"Weinrath2020a"}}],"schema":"https://github.com/citation-style-language/schema/raw/master/csl-citation.json"} </w:instrText>
      </w:r>
      <w:r w:rsidR="001A22EE">
        <w:rPr>
          <w:rFonts w:eastAsiaTheme="minorEastAsia"/>
          <w:lang w:val="en-CA"/>
        </w:rPr>
        <w:fldChar w:fldCharType="separate"/>
      </w:r>
      <w:r w:rsidR="00F4243E" w:rsidRPr="00F4243E">
        <w:t>(Weinrath, 2020)</w:t>
      </w:r>
      <w:r w:rsidR="001A22EE">
        <w:rPr>
          <w:rFonts w:eastAsiaTheme="minorEastAsia"/>
          <w:lang w:val="en-CA"/>
        </w:rPr>
        <w:fldChar w:fldCharType="end"/>
      </w:r>
      <w:r w:rsidR="001A22EE" w:rsidRPr="001A22EE">
        <w:rPr>
          <w:rFonts w:eastAsiaTheme="minorEastAsia"/>
          <w:lang w:val="en-CA"/>
        </w:rPr>
        <w:t xml:space="preserve">. </w:t>
      </w:r>
      <w:r w:rsidR="00CB7837" w:rsidRPr="00CB7837">
        <w:rPr>
          <w:rFonts w:eastAsiaTheme="minorEastAsia"/>
          <w:lang w:val="en-CA"/>
        </w:rPr>
        <w:t xml:space="preserve">National statistics reveal broad patterns—most notably the persistent overrepresentation of marginalized groups, </w:t>
      </w:r>
      <w:r w:rsidR="00001FC3">
        <w:rPr>
          <w:rFonts w:eastAsiaTheme="minorEastAsia"/>
          <w:lang w:val="en-CA"/>
        </w:rPr>
        <w:t>especially</w:t>
      </w:r>
      <w:r w:rsidR="00001FC3" w:rsidRPr="00CB7837">
        <w:rPr>
          <w:rFonts w:eastAsiaTheme="minorEastAsia"/>
          <w:lang w:val="en-CA"/>
        </w:rPr>
        <w:t xml:space="preserve"> </w:t>
      </w:r>
      <w:r w:rsidR="00CB7837" w:rsidRPr="00CB7837">
        <w:rPr>
          <w:rFonts w:eastAsiaTheme="minorEastAsia"/>
          <w:lang w:val="en-CA"/>
        </w:rPr>
        <w:t xml:space="preserve">Indigenous </w:t>
      </w:r>
      <w:r w:rsidR="005D04A2">
        <w:rPr>
          <w:rFonts w:eastAsiaTheme="minorEastAsia"/>
          <w:lang w:val="en-CA"/>
        </w:rPr>
        <w:t>individuals</w:t>
      </w:r>
      <w:r w:rsidR="00CB7837" w:rsidRPr="00CB7837">
        <w:rPr>
          <w:rFonts w:eastAsiaTheme="minorEastAsia"/>
          <w:lang w:val="en-CA"/>
        </w:rPr>
        <w:t>—yet these trends are hard to interpret without more detailed demographic data</w:t>
      </w:r>
      <w:r w:rsidR="00CB7837">
        <w:rPr>
          <w:rFonts w:eastAsiaTheme="minorEastAsia"/>
          <w:lang w:val="en-CA"/>
        </w:rPr>
        <w:t xml:space="preserve"> </w:t>
      </w:r>
      <w:r w:rsidR="001A22EE">
        <w:rPr>
          <w:rFonts w:eastAsiaTheme="minorEastAsia"/>
          <w:lang w:val="en-CA"/>
        </w:rPr>
        <w:fldChar w:fldCharType="begin"/>
      </w:r>
      <w:r w:rsidR="00F4243E">
        <w:rPr>
          <w:rFonts w:eastAsiaTheme="minorEastAsia"/>
          <w:lang w:val="en-CA"/>
        </w:rPr>
        <w:instrText xml:space="preserve"> ADDIN ZOTERO_ITEM CSL_CITATION {"citationID":"8GO5fm5v","properties":{"formattedCitation":"(Robinson et al., 2023)","plainCitation":"(Robinson et al., 2023)","noteIndex":0},"citationItems":[{"id":13951,"uris":["http://zotero.org/users/17128492/items/ATBVW3D6"],"itemData":{"id":13951,"type":"report","archive":"Juristat","event-place":"Ottawa","note":"issue: 1209-6393\n2023001\nCitation Key: Robinson2023a","number":"1209-6393","publisher":"Statistics Canada","publisher-place":"Ottawa","title":"Over-representation of Indigenous persons in adult provincial custody, 2019/2020 and 2020/2021","URL":"https://www150.statcan.gc.ca/n1/en/catalogue/85-002-X202300100004","author":[{"family":"Robinson","given":"Paul"},{"family":"Small","given":"Taylor"},{"family":"Chen","given":"Anna"},{"family":"Irving","given":"Mark"}],"accessed":{"date-parts":[["2023",11,22]]},"issued":{"date-parts":[["2023"]]},"citation-key":"Robinson2023a"}}],"schema":"https://github.com/citation-style-language/schema/raw/master/csl-citation.json"} </w:instrText>
      </w:r>
      <w:r w:rsidR="001A22EE">
        <w:rPr>
          <w:rFonts w:eastAsiaTheme="minorEastAsia"/>
          <w:lang w:val="en-CA"/>
        </w:rPr>
        <w:fldChar w:fldCharType="separate"/>
      </w:r>
      <w:r w:rsidR="00F4243E" w:rsidRPr="00F4243E">
        <w:t>(Robinson et al., 2023)</w:t>
      </w:r>
      <w:r w:rsidR="001A22EE">
        <w:rPr>
          <w:rFonts w:eastAsiaTheme="minorEastAsia"/>
          <w:lang w:val="en-CA"/>
        </w:rPr>
        <w:fldChar w:fldCharType="end"/>
      </w:r>
      <w:r w:rsidR="001A22EE" w:rsidRPr="001A22EE">
        <w:rPr>
          <w:rFonts w:eastAsiaTheme="minorEastAsia"/>
          <w:lang w:val="en-CA"/>
        </w:rPr>
        <w:t xml:space="preserve">. </w:t>
      </w:r>
      <w:r w:rsidR="004D54C7" w:rsidRPr="004D54C7">
        <w:rPr>
          <w:rFonts w:eastAsiaTheme="minorEastAsia"/>
          <w:lang w:val="en-CA"/>
        </w:rPr>
        <w:t>Legislative distinctions between adult and youth systems further divide datasets, limiting integrated analysis and leaving national estimates necessarily incomplete.</w:t>
      </w:r>
      <w:r w:rsidR="004D54C7">
        <w:rPr>
          <w:rFonts w:eastAsiaTheme="minorEastAsia"/>
          <w:lang w:val="en-CA"/>
        </w:rPr>
        <w:t xml:space="preserve"> </w:t>
      </w:r>
    </w:p>
    <w:p w14:paraId="2E350684" w14:textId="77777777" w:rsidR="004D54C7" w:rsidRDefault="004D54C7" w:rsidP="00D8274E">
      <w:pPr>
        <w:rPr>
          <w:rFonts w:eastAsiaTheme="minorEastAsia"/>
          <w:lang w:val="en-CA"/>
        </w:rPr>
      </w:pPr>
    </w:p>
    <w:p w14:paraId="52B4BA3B" w14:textId="718FE5B9" w:rsidR="002E6621" w:rsidRDefault="004D54C7" w:rsidP="004D54C7">
      <w:pPr>
        <w:rPr>
          <w:rFonts w:eastAsiaTheme="minorEastAsia"/>
          <w:lang w:val="en-CA"/>
        </w:rPr>
      </w:pPr>
      <w:r w:rsidRPr="004D54C7">
        <w:rPr>
          <w:rFonts w:eastAsiaTheme="minorEastAsia"/>
          <w:lang w:val="en-CA"/>
        </w:rPr>
        <w:t>The term “community corrections”</w:t>
      </w:r>
      <w:r w:rsidR="005D04A2">
        <w:rPr>
          <w:rFonts w:eastAsiaTheme="minorEastAsia"/>
          <w:lang w:val="en-CA"/>
        </w:rPr>
        <w:t>, although a normative reference,</w:t>
      </w:r>
      <w:r w:rsidRPr="004D54C7">
        <w:rPr>
          <w:rFonts w:eastAsiaTheme="minorEastAsia"/>
          <w:lang w:val="en-CA"/>
        </w:rPr>
        <w:t xml:space="preserve"> is </w:t>
      </w:r>
      <w:r w:rsidR="000E6C01">
        <w:rPr>
          <w:rFonts w:eastAsiaTheme="minorEastAsia"/>
          <w:lang w:val="en-CA"/>
        </w:rPr>
        <w:t xml:space="preserve">not formally </w:t>
      </w:r>
      <w:r w:rsidRPr="004D54C7">
        <w:rPr>
          <w:rFonts w:eastAsiaTheme="minorEastAsia"/>
          <w:lang w:val="en-CA"/>
        </w:rPr>
        <w:t xml:space="preserve">used in Canadian policy discourse. Practitioners and policymakers instead refer to “community supervision,” specific correctional services, or dispositions such as </w:t>
      </w:r>
      <w:r w:rsidR="000E6C01">
        <w:rPr>
          <w:rFonts w:eastAsiaTheme="minorEastAsia"/>
          <w:lang w:val="en-CA"/>
        </w:rPr>
        <w:t xml:space="preserve">probation, </w:t>
      </w:r>
      <w:r w:rsidRPr="004D54C7">
        <w:rPr>
          <w:rFonts w:eastAsiaTheme="minorEastAsia"/>
          <w:lang w:val="en-CA"/>
        </w:rPr>
        <w:t xml:space="preserve">parole </w:t>
      </w:r>
      <w:r w:rsidR="000E6C01">
        <w:rPr>
          <w:rFonts w:eastAsiaTheme="minorEastAsia"/>
          <w:lang w:val="en-CA"/>
        </w:rPr>
        <w:t>or c</w:t>
      </w:r>
      <w:r w:rsidRPr="004D54C7">
        <w:rPr>
          <w:rFonts w:eastAsiaTheme="minorEastAsia"/>
          <w:lang w:val="en-CA"/>
        </w:rPr>
        <w:t xml:space="preserve">onditional </w:t>
      </w:r>
      <w:r w:rsidR="000E6C01">
        <w:rPr>
          <w:rFonts w:eastAsiaTheme="minorEastAsia"/>
          <w:lang w:val="en-CA"/>
        </w:rPr>
        <w:t>s</w:t>
      </w:r>
      <w:r w:rsidRPr="004D54C7">
        <w:rPr>
          <w:rFonts w:eastAsiaTheme="minorEastAsia"/>
          <w:lang w:val="en-CA"/>
        </w:rPr>
        <w:t xml:space="preserve">entences. </w:t>
      </w:r>
      <w:r>
        <w:rPr>
          <w:rFonts w:eastAsiaTheme="minorEastAsia"/>
          <w:lang w:val="en-CA"/>
        </w:rPr>
        <w:t xml:space="preserve">Such </w:t>
      </w:r>
      <w:r w:rsidRPr="004D54C7">
        <w:rPr>
          <w:rFonts w:eastAsiaTheme="minorEastAsia"/>
          <w:lang w:val="en-CA"/>
        </w:rPr>
        <w:t>dispositions include probation orders, conditional sentence orders (</w:t>
      </w:r>
      <w:r w:rsidR="000E6C01">
        <w:rPr>
          <w:rFonts w:eastAsiaTheme="minorEastAsia"/>
          <w:lang w:val="en-CA"/>
        </w:rPr>
        <w:t xml:space="preserve">i.e., </w:t>
      </w:r>
      <w:r w:rsidRPr="004D54C7">
        <w:rPr>
          <w:rFonts w:eastAsiaTheme="minorEastAsia"/>
          <w:lang w:val="en-CA"/>
        </w:rPr>
        <w:t>“house arrest”), statutory release, and day or full parole; in some contexts, the term also refers to bail or pre-trial supervision</w:t>
      </w:r>
      <w:r w:rsidR="00E27FEA">
        <w:rPr>
          <w:rFonts w:eastAsiaTheme="minorEastAsia"/>
          <w:lang w:val="en-CA"/>
        </w:rPr>
        <w:t xml:space="preserve"> </w:t>
      </w:r>
      <w:r w:rsidR="00E27FEA">
        <w:rPr>
          <w:rFonts w:eastAsiaTheme="minorEastAsia"/>
          <w:lang w:val="en-CA"/>
        </w:rPr>
        <w:fldChar w:fldCharType="begin"/>
      </w:r>
      <w:r w:rsidR="00E27FEA">
        <w:rPr>
          <w:rFonts w:eastAsiaTheme="minorEastAsia"/>
          <w:lang w:val="en-CA"/>
        </w:rPr>
        <w:instrText xml:space="preserve"> ADDIN ZOTERO_ITEM CSL_CITATION {"citationID":"49AW00X7","properties":{"formattedCitation":"(Bourgon, 2024)","plainCitation":"(Bourgon, 2024)","noteIndex":0},"citationItems":[{"id":28017,"uris":["http://zotero.org/users/17128492/items/CAIZI9TN"],"itemData":{"id":28017,"type":"chapter","collection-number":"15","container-title":"The Routledge Handbook on Global Community Corrections","edition":"1","event-place":"London","ISBN":"978-1-003-30514-9","language":"en","note":"DOI: 10.4324/9781003305149-22\nCitation Key: Bourgon2024","number-of-volumes":"15","page":"315-329","publisher":"Routledge","publisher-place":"London","source":"DOI.org (Crossref)","title":"Community Corrections in Canada","URL":"https://www.taylorfrancis.com/books/9781003305149/chapters/10.4324/9781003305149-22","container-author":[{"family":"Durnescu","given":"Ioan"},{"family":"Byrne","given":"James M."},{"family":"Mackey","given":"Benjamin J."},{"family":"Taxman","given":"Faye S."}],"author":[{"family":"Bourgon","given":"Guy"}],"accessed":{"date-parts":[["2025",10,18]]},"issued":{"date-parts":[["2024",4,30]]},"citation-key":"Bourgon2024"}}],"schema":"https://github.com/citation-style-language/schema/raw/master/csl-citation.json"} </w:instrText>
      </w:r>
      <w:r w:rsidR="00E27FEA">
        <w:rPr>
          <w:rFonts w:eastAsiaTheme="minorEastAsia"/>
          <w:lang w:val="en-CA"/>
        </w:rPr>
        <w:fldChar w:fldCharType="separate"/>
      </w:r>
      <w:r w:rsidR="00E27FEA" w:rsidRPr="00E27FEA">
        <w:rPr>
          <w:rFonts w:eastAsiaTheme="minorEastAsia"/>
        </w:rPr>
        <w:t>(Bourgon, 2024)</w:t>
      </w:r>
      <w:r w:rsidR="00E27FEA">
        <w:rPr>
          <w:rFonts w:eastAsiaTheme="minorEastAsia"/>
          <w:lang w:val="en-CA"/>
        </w:rPr>
        <w:fldChar w:fldCharType="end"/>
      </w:r>
      <w:r w:rsidRPr="004D54C7">
        <w:rPr>
          <w:rFonts w:eastAsiaTheme="minorEastAsia"/>
          <w:lang w:val="en-CA"/>
        </w:rPr>
        <w:t>.</w:t>
      </w:r>
      <w:r>
        <w:rPr>
          <w:rFonts w:eastAsiaTheme="minorEastAsia"/>
          <w:lang w:val="en-CA"/>
        </w:rPr>
        <w:t xml:space="preserve"> </w:t>
      </w:r>
      <w:r w:rsidRPr="004D54C7">
        <w:rPr>
          <w:rFonts w:eastAsiaTheme="minorEastAsia"/>
          <w:lang w:val="en-CA"/>
        </w:rPr>
        <w:t xml:space="preserve">Given Canada’s 14 jurisdictions differ substantially in geography, population, and available resources, </w:t>
      </w:r>
      <w:r w:rsidR="005D04A2">
        <w:rPr>
          <w:rFonts w:eastAsiaTheme="minorEastAsia"/>
          <w:lang w:val="en-CA"/>
        </w:rPr>
        <w:t xml:space="preserve">each </w:t>
      </w:r>
      <w:r w:rsidRPr="004D54C7">
        <w:rPr>
          <w:rFonts w:eastAsiaTheme="minorEastAsia"/>
          <w:lang w:val="en-CA"/>
        </w:rPr>
        <w:t>generate</w:t>
      </w:r>
      <w:r w:rsidR="005D04A2">
        <w:rPr>
          <w:rFonts w:eastAsiaTheme="minorEastAsia"/>
          <w:lang w:val="en-CA"/>
        </w:rPr>
        <w:t>s</w:t>
      </w:r>
      <w:r w:rsidRPr="004D54C7">
        <w:rPr>
          <w:rFonts w:eastAsiaTheme="minorEastAsia"/>
          <w:lang w:val="en-CA"/>
        </w:rPr>
        <w:t xml:space="preserve"> distinct operational environments and challenges, including </w:t>
      </w:r>
      <w:r w:rsidR="00E27FEA" w:rsidRPr="004D54C7">
        <w:rPr>
          <w:rFonts w:eastAsiaTheme="minorEastAsia"/>
          <w:lang w:val="en-CA"/>
        </w:rPr>
        <w:t>limited-service</w:t>
      </w:r>
      <w:r w:rsidRPr="004D54C7">
        <w:rPr>
          <w:rFonts w:eastAsiaTheme="minorEastAsia"/>
          <w:lang w:val="en-CA"/>
        </w:rPr>
        <w:t xml:space="preserve"> access </w:t>
      </w:r>
      <w:r w:rsidR="00E27FEA">
        <w:rPr>
          <w:rFonts w:eastAsiaTheme="minorEastAsia"/>
          <w:lang w:val="en-CA"/>
        </w:rPr>
        <w:t xml:space="preserve">and unique arrangements </w:t>
      </w:r>
      <w:r w:rsidRPr="004D54C7">
        <w:rPr>
          <w:rFonts w:eastAsiaTheme="minorEastAsia"/>
          <w:lang w:val="en-CA"/>
        </w:rPr>
        <w:t xml:space="preserve">in rural </w:t>
      </w:r>
      <w:r w:rsidR="00E27FEA">
        <w:rPr>
          <w:rFonts w:eastAsiaTheme="minorEastAsia"/>
          <w:lang w:val="en-CA"/>
        </w:rPr>
        <w:t xml:space="preserve">versus urban </w:t>
      </w:r>
      <w:r w:rsidRPr="004D54C7">
        <w:rPr>
          <w:rFonts w:eastAsiaTheme="minorEastAsia"/>
          <w:lang w:val="en-CA"/>
        </w:rPr>
        <w:t>regions.</w:t>
      </w:r>
    </w:p>
    <w:p w14:paraId="2F06F99D" w14:textId="4E3497EA" w:rsidR="001A22EE" w:rsidRPr="00D8274E" w:rsidRDefault="008D451C" w:rsidP="00D8274E">
      <w:pPr>
        <w:rPr>
          <w:rFonts w:eastAsiaTheme="minorEastAsia"/>
          <w:lang w:val="en-CA"/>
        </w:rPr>
      </w:pPr>
      <w:r>
        <w:rPr>
          <w:rFonts w:eastAsiaTheme="minorEastAsia"/>
          <w:lang w:val="en-CA"/>
        </w:rPr>
        <w:br/>
      </w:r>
    </w:p>
    <w:p w14:paraId="7721C646" w14:textId="6D95139D" w:rsidR="00D8274E" w:rsidRPr="00D8274E" w:rsidRDefault="00D8274E" w:rsidP="00D8274E">
      <w:pPr>
        <w:rPr>
          <w:rFonts w:eastAsiaTheme="minorEastAsia"/>
          <w:b/>
          <w:lang w:val="en-CA"/>
        </w:rPr>
      </w:pPr>
      <w:r w:rsidRPr="00D8274E">
        <w:rPr>
          <w:rFonts w:eastAsiaTheme="minorEastAsia"/>
          <w:b/>
          <w:lang w:val="en-CA"/>
        </w:rPr>
        <w:t>Adults</w:t>
      </w:r>
      <w:r w:rsidR="00823FE3">
        <w:rPr>
          <w:rFonts w:eastAsiaTheme="minorEastAsia"/>
          <w:b/>
          <w:lang w:val="en-CA"/>
        </w:rPr>
        <w:t xml:space="preserve">: </w:t>
      </w:r>
      <w:r w:rsidR="00C62F0F">
        <w:rPr>
          <w:rFonts w:eastAsiaTheme="minorEastAsia"/>
          <w:b/>
          <w:lang w:val="en-CA"/>
        </w:rPr>
        <w:t xml:space="preserve">Custodial versus </w:t>
      </w:r>
      <w:r w:rsidRPr="00D8274E">
        <w:rPr>
          <w:rFonts w:eastAsiaTheme="minorEastAsia"/>
          <w:b/>
          <w:lang w:val="en-CA"/>
        </w:rPr>
        <w:t>Community Supervision</w:t>
      </w:r>
    </w:p>
    <w:p w14:paraId="5881DE96" w14:textId="6A92F078" w:rsidR="002A319C" w:rsidRPr="002A319C" w:rsidRDefault="00754C7E" w:rsidP="002A319C">
      <w:pPr>
        <w:rPr>
          <w:rFonts w:eastAsiaTheme="minorEastAsia"/>
          <w:lang w:val="en-CA"/>
        </w:rPr>
      </w:pPr>
      <w:r>
        <w:rPr>
          <w:rFonts w:eastAsiaTheme="minorEastAsia"/>
          <w:lang w:val="en-CA"/>
        </w:rPr>
        <w:br/>
      </w:r>
      <w:r w:rsidR="002A319C" w:rsidRPr="002A319C">
        <w:rPr>
          <w:rFonts w:eastAsiaTheme="minorEastAsia"/>
          <w:lang w:val="en-CA"/>
        </w:rPr>
        <w:t>A contemporary view of the national data shows</w:t>
      </w:r>
      <w:r w:rsidR="005D04A2">
        <w:rPr>
          <w:rFonts w:eastAsiaTheme="minorEastAsia"/>
          <w:lang w:val="en-CA"/>
        </w:rPr>
        <w:t xml:space="preserve"> how,</w:t>
      </w:r>
      <w:r w:rsidR="002A319C" w:rsidRPr="002A319C">
        <w:rPr>
          <w:rFonts w:eastAsiaTheme="minorEastAsia"/>
          <w:lang w:val="en-CA"/>
        </w:rPr>
        <w:t xml:space="preserve"> in the adult federal system</w:t>
      </w:r>
      <w:r w:rsidR="005D04A2">
        <w:rPr>
          <w:rFonts w:eastAsiaTheme="minorEastAsia"/>
          <w:lang w:val="en-CA"/>
        </w:rPr>
        <w:t>,</w:t>
      </w:r>
      <w:r w:rsidR="002A319C" w:rsidRPr="002A319C">
        <w:rPr>
          <w:rFonts w:eastAsiaTheme="minorEastAsia"/>
          <w:lang w:val="en-CA"/>
        </w:rPr>
        <w:t xml:space="preserve"> there were 6,106 community admissions compared with 7,287 custodial admissions, with an average daily count of 8,362.2 adults under community supervision and 12,667.2 adults in federal custody </w:t>
      </w:r>
      <w:r>
        <w:rPr>
          <w:rFonts w:eastAsiaTheme="minorEastAsia"/>
          <w:lang w:val="en-CA"/>
        </w:rPr>
        <w:fldChar w:fldCharType="begin"/>
      </w:r>
      <w:r w:rsidR="00C478A6">
        <w:rPr>
          <w:rFonts w:eastAsiaTheme="minorEastAsia"/>
          <w:lang w:val="en-CA"/>
        </w:rPr>
        <w:instrText xml:space="preserve"> ADDIN ZOTERO_ITEM CSL_CITATION {"citationID":"Nyk9KIi7","properties":{"formattedCitation":"(Statistics Canada, 2025c)","plainCitation":"(Statistics Canada, 2025c)","noteIndex":0},"citationItems":[{"id":30994,"uris":["http://zotero.org/users/17128492/items/VZJZ2NPT"],"itemData":{"id":30994,"type":"dataset","event-place":"Ottawa","license":"His Majesty the King in Right of Canada, Industry and Statistics Ministires","note":"Citation Key: StatisticsCanada2025b","publisher-place":"Ottawa","title":"Correctional services statistics: Interactive dashboard","title-short":"Interactive dashboard","URL":"https://www150.statcan.gc.ca/n1/pub/71-607-x/71-607-x2019018-eng.htm","version":"Youth","author":[{"literal":"Statistics Canada"}],"accessed":{"date-parts":[["2025",11,13]]},"issued":{"date-parts":[["2025",11,13]]},"citation-key":"StatisticsCanada2025b"}}],"schema":"https://github.com/citation-style-language/schema/raw/master/csl-citation.json"} </w:instrText>
      </w:r>
      <w:r>
        <w:rPr>
          <w:rFonts w:eastAsiaTheme="minorEastAsia"/>
          <w:lang w:val="en-CA"/>
        </w:rPr>
        <w:fldChar w:fldCharType="separate"/>
      </w:r>
      <w:r w:rsidRPr="00754C7E">
        <w:rPr>
          <w:rFonts w:eastAsiaTheme="minorEastAsia"/>
        </w:rPr>
        <w:t>(Statistics Canada, 2025c)</w:t>
      </w:r>
      <w:r>
        <w:rPr>
          <w:rFonts w:eastAsiaTheme="minorEastAsia"/>
          <w:lang w:val="en-CA"/>
        </w:rPr>
        <w:fldChar w:fldCharType="end"/>
      </w:r>
      <w:r w:rsidR="002A319C" w:rsidRPr="002A319C">
        <w:rPr>
          <w:rFonts w:eastAsiaTheme="minorEastAsia"/>
          <w:lang w:val="en-CA"/>
        </w:rPr>
        <w:t>. Expressed per capita, this corresponds to 40.07 adults per 100,000 under federal jurisdiction versus 71.59 per 100,000 in the provincial/territorial systems. The more pronounced reliance on community supervision in the provinces and territories partly reflects the presence of probation, a</w:t>
      </w:r>
      <w:r w:rsidR="00677D95">
        <w:rPr>
          <w:rFonts w:eastAsiaTheme="minorEastAsia"/>
          <w:lang w:val="en-CA"/>
        </w:rPr>
        <w:t>n</w:t>
      </w:r>
      <w:r w:rsidR="002A319C" w:rsidRPr="002A319C">
        <w:rPr>
          <w:rFonts w:eastAsiaTheme="minorEastAsia"/>
          <w:lang w:val="en-CA"/>
        </w:rPr>
        <w:t xml:space="preserve"> </w:t>
      </w:r>
      <w:r w:rsidR="0001118F">
        <w:rPr>
          <w:rFonts w:eastAsiaTheme="minorEastAsia"/>
          <w:lang w:val="en-CA"/>
        </w:rPr>
        <w:t xml:space="preserve">inexistant </w:t>
      </w:r>
      <w:r w:rsidR="002A319C" w:rsidRPr="002A319C">
        <w:rPr>
          <w:rFonts w:eastAsiaTheme="minorEastAsia"/>
          <w:lang w:val="en-CA"/>
        </w:rPr>
        <w:t>sentencing option at the federal level</w:t>
      </w:r>
      <w:r>
        <w:rPr>
          <w:rFonts w:eastAsiaTheme="minorEastAsia"/>
          <w:lang w:val="en-CA"/>
        </w:rPr>
        <w:t xml:space="preserve"> </w:t>
      </w:r>
      <w:r>
        <w:rPr>
          <w:rFonts w:eastAsiaTheme="minorEastAsia"/>
          <w:lang w:val="en-CA"/>
        </w:rPr>
        <w:fldChar w:fldCharType="begin"/>
      </w:r>
      <w:r>
        <w:rPr>
          <w:rFonts w:eastAsiaTheme="minorEastAsia"/>
          <w:lang w:val="en-CA"/>
        </w:rPr>
        <w:instrText xml:space="preserve"> ADDIN ZOTERO_ITEM CSL_CITATION {"citationID":"U5N7yqOV","properties":{"formattedCitation":"(Malakieh, 2020)","plainCitation":"(Malakieh, 2020)","noteIndex":0},"citationItems":[{"id":13011,"uris":["http://zotero.org/users/17128492/items/WWPXDI7E"],"itemData":{"id":13011,"type":"report","collection-title":"Juristat","event-place":"Ottawa","note":"Citation Key: Malakieh2020","page":"1-23","publisher":"Statistics Canada","publisher-place":"Ottawa","source":"Canadian Centre for Justice and Community Safety Statistics","title":"Adult and youth correctional statistics in Canada, 2018/2019","URL":"https://www150.statcan.gc.ca/n1/pub/85-002-x/2020001/article/00016-eng.htm","author":[{"family":"Malakieh","given":"Jamil"}],"issued":{"date-parts":[["2020"]]},"citation-key":"Malakieh2020"}}],"schema":"https://github.com/citation-style-language/schema/raw/master/csl-citation.json"} </w:instrText>
      </w:r>
      <w:r>
        <w:rPr>
          <w:rFonts w:eastAsiaTheme="minorEastAsia"/>
          <w:lang w:val="en-CA"/>
        </w:rPr>
        <w:fldChar w:fldCharType="separate"/>
      </w:r>
      <w:r w:rsidRPr="00754C7E">
        <w:rPr>
          <w:rFonts w:eastAsiaTheme="minorEastAsia"/>
        </w:rPr>
        <w:t>(Malakieh, 2020)</w:t>
      </w:r>
      <w:r>
        <w:rPr>
          <w:rFonts w:eastAsiaTheme="minorEastAsia"/>
          <w:lang w:val="en-CA"/>
        </w:rPr>
        <w:fldChar w:fldCharType="end"/>
      </w:r>
      <w:r w:rsidR="002A319C" w:rsidRPr="002A319C">
        <w:rPr>
          <w:rFonts w:eastAsiaTheme="minorEastAsia"/>
          <w:lang w:val="en-CA"/>
        </w:rPr>
        <w:t>.</w:t>
      </w:r>
    </w:p>
    <w:p w14:paraId="09450679" w14:textId="77777777" w:rsidR="002A319C" w:rsidRPr="002A319C" w:rsidRDefault="002A319C" w:rsidP="002A319C">
      <w:pPr>
        <w:rPr>
          <w:rFonts w:eastAsiaTheme="minorEastAsia"/>
          <w:lang w:val="en-CA"/>
        </w:rPr>
      </w:pPr>
    </w:p>
    <w:p w14:paraId="1BDAFE80" w14:textId="76C5A5CB" w:rsidR="00274633" w:rsidRDefault="00754C7E" w:rsidP="002A319C">
      <w:pPr>
        <w:rPr>
          <w:rFonts w:eastAsiaTheme="minorEastAsia"/>
          <w:lang w:val="en-CA"/>
        </w:rPr>
      </w:pPr>
      <w:r>
        <w:rPr>
          <w:rFonts w:eastAsiaTheme="minorEastAsia"/>
          <w:lang w:val="en-CA"/>
        </w:rPr>
        <w:t xml:space="preserve">Data from </w:t>
      </w:r>
      <w:r w:rsidR="002A319C" w:rsidRPr="002A319C">
        <w:rPr>
          <w:rFonts w:eastAsiaTheme="minorEastAsia"/>
          <w:lang w:val="en-CA"/>
        </w:rPr>
        <w:t>2019</w:t>
      </w:r>
      <w:r>
        <w:rPr>
          <w:rFonts w:eastAsiaTheme="minorEastAsia"/>
          <w:lang w:val="en-CA"/>
        </w:rPr>
        <w:t xml:space="preserve"> to </w:t>
      </w:r>
      <w:r w:rsidR="002A319C" w:rsidRPr="002A319C">
        <w:rPr>
          <w:rFonts w:eastAsiaTheme="minorEastAsia"/>
          <w:lang w:val="en-CA"/>
        </w:rPr>
        <w:t>2024</w:t>
      </w:r>
      <w:r>
        <w:rPr>
          <w:rFonts w:eastAsiaTheme="minorEastAsia"/>
          <w:lang w:val="en-CA"/>
        </w:rPr>
        <w:t xml:space="preserve"> show</w:t>
      </w:r>
      <w:r w:rsidR="0001118F">
        <w:rPr>
          <w:rFonts w:eastAsiaTheme="minorEastAsia"/>
          <w:lang w:val="en-CA"/>
        </w:rPr>
        <w:t>ed</w:t>
      </w:r>
      <w:r>
        <w:rPr>
          <w:rFonts w:eastAsiaTheme="minorEastAsia"/>
          <w:lang w:val="en-CA"/>
        </w:rPr>
        <w:t xml:space="preserve"> the </w:t>
      </w:r>
      <w:r w:rsidR="002A319C" w:rsidRPr="002A319C">
        <w:rPr>
          <w:rFonts w:eastAsiaTheme="minorEastAsia"/>
          <w:lang w:val="en-CA"/>
        </w:rPr>
        <w:t xml:space="preserve">total </w:t>
      </w:r>
      <w:r w:rsidR="00AC171C">
        <w:rPr>
          <w:rFonts w:eastAsiaTheme="minorEastAsia"/>
          <w:lang w:val="en-CA"/>
        </w:rPr>
        <w:t xml:space="preserve">number of people under </w:t>
      </w:r>
      <w:r w:rsidR="002A319C" w:rsidRPr="002A319C">
        <w:rPr>
          <w:rFonts w:eastAsiaTheme="minorEastAsia"/>
          <w:lang w:val="en-CA"/>
        </w:rPr>
        <w:t xml:space="preserve">community supervision across </w:t>
      </w:r>
      <w:r w:rsidR="00AF21B3">
        <w:rPr>
          <w:rFonts w:eastAsiaTheme="minorEastAsia"/>
          <w:lang w:val="en-CA"/>
        </w:rPr>
        <w:t xml:space="preserve">the provincial/territorial </w:t>
      </w:r>
      <w:r w:rsidR="002A319C" w:rsidRPr="002A319C">
        <w:rPr>
          <w:rFonts w:eastAsiaTheme="minorEastAsia"/>
          <w:lang w:val="en-CA"/>
        </w:rPr>
        <w:t>reporting jurisdictions</w:t>
      </w:r>
      <w:r>
        <w:rPr>
          <w:rFonts w:eastAsiaTheme="minorEastAsia"/>
          <w:lang w:val="en-CA"/>
        </w:rPr>
        <w:t xml:space="preserve"> (i.e., </w:t>
      </w:r>
      <w:r w:rsidR="002A319C" w:rsidRPr="002A319C">
        <w:rPr>
          <w:rFonts w:eastAsiaTheme="minorEastAsia"/>
          <w:lang w:val="en-CA"/>
        </w:rPr>
        <w:t>including probation, conditional sentences, and provincial parole</w:t>
      </w:r>
      <w:r>
        <w:rPr>
          <w:rFonts w:eastAsiaTheme="minorEastAsia"/>
          <w:lang w:val="en-CA"/>
        </w:rPr>
        <w:t xml:space="preserve"> where it exists) </w:t>
      </w:r>
      <w:r w:rsidR="002A319C" w:rsidRPr="002A319C">
        <w:rPr>
          <w:rFonts w:eastAsiaTheme="minorEastAsia"/>
          <w:lang w:val="en-CA"/>
        </w:rPr>
        <w:t xml:space="preserve">declined slightly from 86,621 to 84,114 </w:t>
      </w:r>
      <w:r w:rsidR="00AF21B3">
        <w:rPr>
          <w:rFonts w:eastAsiaTheme="minorEastAsia"/>
          <w:lang w:val="en-CA"/>
        </w:rPr>
        <w:fldChar w:fldCharType="begin"/>
      </w:r>
      <w:r w:rsidR="00F4243E">
        <w:rPr>
          <w:rFonts w:eastAsiaTheme="minorEastAsia"/>
          <w:lang w:val="en-CA"/>
        </w:rPr>
        <w:instrText xml:space="preserve"> ADDIN ZOTERO_ITEM CSL_CITATION {"citationID":"d1kWHKi3","properties":{"formattedCitation":"(Statistics Canada, 2025a)","plainCitation":"(Statistics Canada, 2025a)","noteIndex":0},"citationItems":[{"id":30984,"uris":["http://zotero.org/users/17128492/items/6CK7TV83"],"itemData":{"id":30984,"type":"dataset","abstract":"Adult correctional services, custodial and community supervision, average counts of adults in provincial and territorial programs, five years of data.","DOI":"10.25318/3510015401-ENG","note":"Citation Key: StatisticsCanadaa","number":"35-10-0154-01","publisher":"Government of Canada","source":"DOI.org (Datacite)","title":"Average counts of adults in provincial and territorial correctional programs","URL":"https://www150.statcan.gc.ca/t1/tbl1/en/tv.action?pid=3510015401","author":[{"literal":"Statistics Canada"}],"accessed":{"date-parts":[["2025",11,13]]},"issued":{"date-parts":[["2025",11,13]]},"citation-key":"StatisticsCanadaa"}}],"schema":"https://github.com/citation-style-language/schema/raw/master/csl-citation.json"} </w:instrText>
      </w:r>
      <w:r w:rsidR="00AF21B3">
        <w:rPr>
          <w:rFonts w:eastAsiaTheme="minorEastAsia"/>
          <w:lang w:val="en-CA"/>
        </w:rPr>
        <w:fldChar w:fldCharType="separate"/>
      </w:r>
      <w:r w:rsidR="00F4243E" w:rsidRPr="00F4243E">
        <w:t>(Statistics Canada, 2025a)</w:t>
      </w:r>
      <w:r w:rsidR="00AF21B3">
        <w:rPr>
          <w:rFonts w:eastAsiaTheme="minorEastAsia"/>
          <w:lang w:val="en-CA"/>
        </w:rPr>
        <w:fldChar w:fldCharType="end"/>
      </w:r>
      <w:r w:rsidR="002A319C" w:rsidRPr="002A319C">
        <w:rPr>
          <w:rFonts w:eastAsiaTheme="minorEastAsia"/>
          <w:lang w:val="en-CA"/>
        </w:rPr>
        <w:t xml:space="preserve">. Relative to incarceration rates per 100,000 adults </w:t>
      </w:r>
      <w:r w:rsidR="00071D17">
        <w:rPr>
          <w:rFonts w:eastAsiaTheme="minorEastAsia"/>
          <w:lang w:val="en-CA"/>
        </w:rPr>
        <w:t xml:space="preserve">in </w:t>
      </w:r>
      <w:r w:rsidR="003C56C2">
        <w:rPr>
          <w:rFonts w:eastAsiaTheme="minorEastAsia"/>
          <w:lang w:val="en-CA"/>
        </w:rPr>
        <w:t xml:space="preserve">those </w:t>
      </w:r>
      <w:r w:rsidR="00071D17">
        <w:rPr>
          <w:rFonts w:eastAsiaTheme="minorEastAsia"/>
          <w:lang w:val="en-CA"/>
        </w:rPr>
        <w:t xml:space="preserve">same jurisdictions </w:t>
      </w:r>
      <w:r w:rsidR="002A319C" w:rsidRPr="002A319C">
        <w:rPr>
          <w:rFonts w:eastAsiaTheme="minorEastAsia"/>
          <w:lang w:val="en-CA"/>
        </w:rPr>
        <w:t xml:space="preserve">(78.66 in 2019 and 77.78 in 2024), probation remains the most common sentencing outcome, though </w:t>
      </w:r>
      <w:r w:rsidR="0001118F">
        <w:rPr>
          <w:rFonts w:eastAsiaTheme="minorEastAsia"/>
          <w:lang w:val="en-CA"/>
        </w:rPr>
        <w:t>probation’s use</w:t>
      </w:r>
      <w:r w:rsidR="002A319C" w:rsidRPr="002A319C">
        <w:rPr>
          <w:rFonts w:eastAsiaTheme="minorEastAsia"/>
          <w:lang w:val="en-CA"/>
        </w:rPr>
        <w:t xml:space="preserve"> also decreased during this period</w:t>
      </w:r>
      <w:r w:rsidR="00AC171C">
        <w:rPr>
          <w:rFonts w:eastAsiaTheme="minorEastAsia"/>
          <w:lang w:val="en-CA"/>
        </w:rPr>
        <w:t xml:space="preserve"> </w:t>
      </w:r>
      <w:r w:rsidR="002A319C" w:rsidRPr="002A319C">
        <w:rPr>
          <w:rFonts w:eastAsiaTheme="minorEastAsia"/>
          <w:lang w:val="en-CA"/>
        </w:rPr>
        <w:t xml:space="preserve">from 279.52 in </w:t>
      </w:r>
      <w:r w:rsidR="00A9290A">
        <w:rPr>
          <w:rFonts w:eastAsiaTheme="minorEastAsia"/>
          <w:lang w:val="en-CA"/>
        </w:rPr>
        <w:t xml:space="preserve">2019 </w:t>
      </w:r>
      <w:r w:rsidR="002A319C" w:rsidRPr="002A319C">
        <w:rPr>
          <w:rFonts w:eastAsiaTheme="minorEastAsia"/>
          <w:lang w:val="en-CA"/>
        </w:rPr>
        <w:t>to 230.94 in 2024</w:t>
      </w:r>
      <w:r w:rsidR="00AC171C">
        <w:rPr>
          <w:rFonts w:eastAsiaTheme="minorEastAsia"/>
          <w:lang w:val="en-CA"/>
        </w:rPr>
        <w:t>,</w:t>
      </w:r>
      <w:r w:rsidR="009E0BF5">
        <w:rPr>
          <w:rFonts w:eastAsiaTheme="minorEastAsia"/>
          <w:lang w:val="en-CA"/>
        </w:rPr>
        <w:t xml:space="preserve"> </w:t>
      </w:r>
      <w:r w:rsidR="002A319C" w:rsidRPr="002A319C">
        <w:rPr>
          <w:rFonts w:eastAsiaTheme="minorEastAsia"/>
          <w:lang w:val="en-CA"/>
        </w:rPr>
        <w:t>averaging 231.89 per 100,000</w:t>
      </w:r>
      <w:r w:rsidR="00E057D1">
        <w:rPr>
          <w:rFonts w:eastAsiaTheme="minorEastAsia"/>
          <w:lang w:val="en-CA"/>
        </w:rPr>
        <w:t xml:space="preserve"> residents </w:t>
      </w:r>
      <w:r w:rsidR="0061662C">
        <w:rPr>
          <w:rFonts w:eastAsiaTheme="minorEastAsia"/>
          <w:lang w:val="en-CA"/>
        </w:rPr>
        <w:fldChar w:fldCharType="begin"/>
      </w:r>
      <w:r w:rsidR="00F4243E">
        <w:rPr>
          <w:rFonts w:eastAsiaTheme="minorEastAsia"/>
          <w:lang w:val="en-CA"/>
        </w:rPr>
        <w:instrText xml:space="preserve"> ADDIN ZOTERO_ITEM CSL_CITATION {"citationID":"TKoMWTyx","properties":{"formattedCitation":"(Statistics Canada, 2025a)","plainCitation":"(Statistics Canada, 2025a)","noteIndex":0},"citationItems":[{"id":30984,"uris":["http://zotero.org/users/17128492/items/6CK7TV83"],"itemData":{"id":30984,"type":"dataset","abstract":"Adult correctional services, custodial and community supervision, average counts of adults in provincial and territorial programs, five years of data.","DOI":"10.25318/3510015401-ENG","note":"Citation Key: StatisticsCanadaa","number":"35-10-0154-01","publisher":"Government of Canada","source":"DOI.org (Datacite)","title":"Average counts of adults in provincial and territorial correctional programs","URL":"https://www150.statcan.gc.ca/t1/tbl1/en/tv.action?pid=3510015401","author":[{"literal":"Statistics Canada"}],"accessed":{"date-parts":[["2025",11,13]]},"issued":{"date-parts":[["2025",11,13]]},"citation-key":"StatisticsCanadaa"}}],"schema":"https://github.com/citation-style-language/schema/raw/master/csl-citation.json"} </w:instrText>
      </w:r>
      <w:r w:rsidR="0061662C">
        <w:rPr>
          <w:rFonts w:eastAsiaTheme="minorEastAsia"/>
          <w:lang w:val="en-CA"/>
        </w:rPr>
        <w:fldChar w:fldCharType="separate"/>
      </w:r>
      <w:r w:rsidR="00F4243E" w:rsidRPr="00F4243E">
        <w:t>(Statistics Canada, 2025a)</w:t>
      </w:r>
      <w:r w:rsidR="0061662C">
        <w:rPr>
          <w:rFonts w:eastAsiaTheme="minorEastAsia"/>
          <w:lang w:val="en-CA"/>
        </w:rPr>
        <w:fldChar w:fldCharType="end"/>
      </w:r>
      <w:r w:rsidR="002A319C" w:rsidRPr="002A319C">
        <w:rPr>
          <w:rFonts w:eastAsiaTheme="minorEastAsia"/>
          <w:lang w:val="en-CA"/>
        </w:rPr>
        <w:t xml:space="preserve">. The figures should be interpreted cautiously, as national reporting is </w:t>
      </w:r>
      <w:r w:rsidR="00FB5AAD">
        <w:rPr>
          <w:rFonts w:eastAsiaTheme="minorEastAsia"/>
          <w:lang w:val="en-CA"/>
        </w:rPr>
        <w:t xml:space="preserve">often </w:t>
      </w:r>
      <w:r w:rsidR="002A319C" w:rsidRPr="002A319C">
        <w:rPr>
          <w:rFonts w:eastAsiaTheme="minorEastAsia"/>
          <w:lang w:val="en-CA"/>
        </w:rPr>
        <w:t xml:space="preserve">limited by data unavailability in several </w:t>
      </w:r>
      <w:r w:rsidR="002A319C" w:rsidRPr="002A319C">
        <w:rPr>
          <w:rFonts w:eastAsiaTheme="minorEastAsia"/>
          <w:lang w:val="en-CA"/>
        </w:rPr>
        <w:lastRenderedPageBreak/>
        <w:t xml:space="preserve">jurisdictions </w:t>
      </w:r>
      <w:r w:rsidR="003C56C2">
        <w:rPr>
          <w:rFonts w:eastAsiaTheme="minorEastAsia"/>
          <w:lang w:val="en-CA"/>
        </w:rPr>
        <w:fldChar w:fldCharType="begin"/>
      </w:r>
      <w:r w:rsidR="003C56C2">
        <w:rPr>
          <w:rFonts w:eastAsiaTheme="minorEastAsia"/>
          <w:lang w:val="en-CA"/>
        </w:rPr>
        <w:instrText xml:space="preserve"> ADDIN ZOTERO_ITEM CSL_CITATION {"citationID":"mtQkYfwp","properties":{"formattedCitation":"(Malakieh, 2019, 2020)","plainCitation":"(Malakieh, 2019, 2020)","noteIndex":0},"citationItems":[{"id":22008,"uris":["http://zotero.org/users/17128492/items/VNAL8IA6"],"itemData":{"id":22008,"type":"report","collection-title":"Juristat","event-place":"Ottawa","note":"Citation Key: JamilMalakieh2019","page":"1-26","publisher":"Statistics Canada","publisher-place":"Ottawa","source":"The Canadian Centre for Justice Statistics","title":"Adult and youth correctional statistics in Canada, 2017/2018","author":[{"family":"Malakieh","given":"Jamil"}],"issued":{"date-parts":[["2019"]]},"citation-key":"JamilMalakieh2019"}},{"id":13011,"uris":["http://zotero.org/users/17128492/items/WWPXDI7E"],"itemData":{"id":13011,"type":"report","collection-title":"Juristat","event-place":"Ottawa","note":"Citation Key: Malakieh2020","page":"1-23","publisher":"Statistics Canada","publisher-place":"Ottawa","source":"Canadian Centre for Justice and Community Safety Statistics","title":"Adult and youth correctional statistics in Canada, 2018/2019","URL":"https://www150.statcan.gc.ca/n1/pub/85-002-x/2020001/article/00016-eng.htm","author":[{"family":"Malakieh","given":"Jamil"}],"issued":{"date-parts":[["2020"]]},"citation-key":"Malakieh2020"}}],"schema":"https://github.com/citation-style-language/schema/raw/master/csl-citation.json"} </w:instrText>
      </w:r>
      <w:r w:rsidR="003C56C2">
        <w:rPr>
          <w:rFonts w:eastAsiaTheme="minorEastAsia"/>
          <w:lang w:val="en-CA"/>
        </w:rPr>
        <w:fldChar w:fldCharType="separate"/>
      </w:r>
      <w:r w:rsidR="003C56C2" w:rsidRPr="003C56C2">
        <w:rPr>
          <w:rFonts w:eastAsiaTheme="minorEastAsia"/>
        </w:rPr>
        <w:t>(Malakieh, 2019, 2020)</w:t>
      </w:r>
      <w:r w:rsidR="003C56C2">
        <w:rPr>
          <w:rFonts w:eastAsiaTheme="minorEastAsia"/>
          <w:lang w:val="en-CA"/>
        </w:rPr>
        <w:fldChar w:fldCharType="end"/>
      </w:r>
      <w:r w:rsidR="003C56C2">
        <w:rPr>
          <w:rFonts w:eastAsiaTheme="minorEastAsia"/>
          <w:lang w:val="en-CA"/>
        </w:rPr>
        <w:t xml:space="preserve"> </w:t>
      </w:r>
      <w:r w:rsidR="0061662C" w:rsidRPr="002A319C">
        <w:rPr>
          <w:rFonts w:eastAsiaTheme="minorEastAsia"/>
          <w:lang w:val="en-CA"/>
        </w:rPr>
        <w:t>and</w:t>
      </w:r>
      <w:r w:rsidR="00AC171C">
        <w:rPr>
          <w:rFonts w:eastAsiaTheme="minorEastAsia"/>
          <w:lang w:val="en-CA"/>
        </w:rPr>
        <w:t>,</w:t>
      </w:r>
      <w:r w:rsidR="002A319C" w:rsidRPr="002A319C">
        <w:rPr>
          <w:rFonts w:eastAsiaTheme="minorEastAsia"/>
          <w:lang w:val="en-CA"/>
        </w:rPr>
        <w:t xml:space="preserve"> thus</w:t>
      </w:r>
      <w:r w:rsidR="00AC171C">
        <w:rPr>
          <w:rFonts w:eastAsiaTheme="minorEastAsia"/>
          <w:lang w:val="en-CA"/>
        </w:rPr>
        <w:t>,</w:t>
      </w:r>
      <w:r w:rsidR="002A319C" w:rsidRPr="002A319C">
        <w:rPr>
          <w:rFonts w:eastAsiaTheme="minorEastAsia"/>
          <w:lang w:val="en-CA"/>
        </w:rPr>
        <w:t xml:space="preserve"> </w:t>
      </w:r>
      <w:r w:rsidR="00D06E91">
        <w:rPr>
          <w:rFonts w:eastAsiaTheme="minorEastAsia"/>
          <w:lang w:val="en-CA"/>
        </w:rPr>
        <w:t xml:space="preserve">figures are </w:t>
      </w:r>
      <w:r w:rsidR="002A319C" w:rsidRPr="002A319C">
        <w:rPr>
          <w:rFonts w:eastAsiaTheme="minorEastAsia"/>
          <w:lang w:val="en-CA"/>
        </w:rPr>
        <w:t xml:space="preserve">conservative estimates </w:t>
      </w:r>
      <w:r w:rsidR="00AC171C">
        <w:rPr>
          <w:rFonts w:eastAsiaTheme="minorEastAsia"/>
          <w:lang w:val="en-CA"/>
        </w:rPr>
        <w:t xml:space="preserve">given the </w:t>
      </w:r>
      <w:r w:rsidR="002A319C" w:rsidRPr="002A319C">
        <w:rPr>
          <w:rFonts w:eastAsiaTheme="minorEastAsia"/>
          <w:lang w:val="en-CA"/>
        </w:rPr>
        <w:t xml:space="preserve">system </w:t>
      </w:r>
      <w:r w:rsidR="00D06E91">
        <w:rPr>
          <w:rFonts w:eastAsiaTheme="minorEastAsia"/>
          <w:lang w:val="en-CA"/>
        </w:rPr>
        <w:t xml:space="preserve">fails to have </w:t>
      </w:r>
      <w:r w:rsidR="002A319C" w:rsidRPr="002A319C">
        <w:rPr>
          <w:rFonts w:eastAsiaTheme="minorEastAsia"/>
          <w:lang w:val="en-CA"/>
        </w:rPr>
        <w:t>consistent nationwide data (Weinrath, 2020).</w:t>
      </w:r>
    </w:p>
    <w:p w14:paraId="062E224A" w14:textId="77777777" w:rsidR="002A319C" w:rsidRDefault="002A319C" w:rsidP="002A319C">
      <w:pPr>
        <w:rPr>
          <w:rFonts w:eastAsiaTheme="minorEastAsia"/>
          <w:lang w:val="en-CA"/>
        </w:rPr>
      </w:pPr>
    </w:p>
    <w:p w14:paraId="135537B2" w14:textId="7D7A0896" w:rsidR="0061662C" w:rsidRDefault="00D06E91" w:rsidP="00994EB8">
      <w:pPr>
        <w:rPr>
          <w:rFonts w:eastAsiaTheme="minorEastAsia"/>
          <w:lang w:val="en-CA"/>
        </w:rPr>
      </w:pPr>
      <w:r>
        <w:rPr>
          <w:rFonts w:eastAsiaTheme="minorEastAsia"/>
          <w:lang w:val="en-CA"/>
        </w:rPr>
        <w:t xml:space="preserve">Data discrepancies also can be found </w:t>
      </w:r>
      <w:r w:rsidR="00994EB8" w:rsidRPr="00994EB8">
        <w:rPr>
          <w:rFonts w:eastAsiaTheme="minorEastAsia"/>
          <w:lang w:val="en-CA"/>
        </w:rPr>
        <w:t>between custodial figures</w:t>
      </w:r>
      <w:r>
        <w:rPr>
          <w:rFonts w:eastAsiaTheme="minorEastAsia"/>
          <w:lang w:val="en-CA"/>
        </w:rPr>
        <w:t xml:space="preserve">, </w:t>
      </w:r>
      <w:r w:rsidR="00994EB8" w:rsidRPr="00994EB8">
        <w:rPr>
          <w:rFonts w:eastAsiaTheme="minorEastAsia"/>
          <w:lang w:val="en-CA"/>
        </w:rPr>
        <w:t>which combine sentenced individuals with those held on remand</w:t>
      </w:r>
      <w:r>
        <w:rPr>
          <w:rFonts w:eastAsiaTheme="minorEastAsia"/>
          <w:lang w:val="en-CA"/>
        </w:rPr>
        <w:t xml:space="preserve">, </w:t>
      </w:r>
      <w:r w:rsidR="00994EB8" w:rsidRPr="00994EB8">
        <w:rPr>
          <w:rFonts w:eastAsiaTheme="minorEastAsia"/>
          <w:lang w:val="en-CA"/>
        </w:rPr>
        <w:t xml:space="preserve">and community supervision totals, which exclude all pre-trial supervisory arrangements. Programs such as bail supervision, </w:t>
      </w:r>
      <w:r w:rsidR="0022706E">
        <w:rPr>
          <w:rFonts w:eastAsiaTheme="minorEastAsia"/>
          <w:lang w:val="en-CA"/>
        </w:rPr>
        <w:t>releases</w:t>
      </w:r>
      <w:r w:rsidR="0061662C">
        <w:rPr>
          <w:rFonts w:eastAsiaTheme="minorEastAsia"/>
          <w:lang w:val="en-CA"/>
        </w:rPr>
        <w:t xml:space="preserve"> on a persons’ own </w:t>
      </w:r>
      <w:r w:rsidR="0061662C" w:rsidRPr="0061662C">
        <w:rPr>
          <w:rFonts w:eastAsiaTheme="minorEastAsia"/>
          <w:lang w:val="en-CA"/>
        </w:rPr>
        <w:t>recognizance</w:t>
      </w:r>
      <w:r w:rsidR="00994EB8" w:rsidRPr="00994EB8">
        <w:rPr>
          <w:rFonts w:eastAsiaTheme="minorEastAsia"/>
          <w:lang w:val="en-CA"/>
        </w:rPr>
        <w:t xml:space="preserve">, or other conditions imposed prior to sentencing do not appear in </w:t>
      </w:r>
      <w:r w:rsidR="0061662C">
        <w:rPr>
          <w:rFonts w:eastAsiaTheme="minorEastAsia"/>
          <w:lang w:val="en-CA"/>
        </w:rPr>
        <w:t xml:space="preserve">these </w:t>
      </w:r>
      <w:r w:rsidR="00994EB8" w:rsidRPr="00994EB8">
        <w:rPr>
          <w:rFonts w:eastAsiaTheme="minorEastAsia"/>
          <w:lang w:val="en-CA"/>
        </w:rPr>
        <w:t>national community supervision estimates, meaning the total volume of supervision occurring outside custody is substantively higher than reported.</w:t>
      </w:r>
      <w:r w:rsidR="0061662C">
        <w:rPr>
          <w:rFonts w:eastAsiaTheme="minorEastAsia"/>
          <w:lang w:val="en-CA"/>
        </w:rPr>
        <w:t xml:space="preserve"> </w:t>
      </w:r>
      <w:r w:rsidR="0022706E">
        <w:rPr>
          <w:rFonts w:eastAsiaTheme="minorEastAsia"/>
          <w:lang w:val="en-CA"/>
        </w:rPr>
        <w:t xml:space="preserve">Regardless, the </w:t>
      </w:r>
      <w:r w:rsidR="00994EB8" w:rsidRPr="00994EB8">
        <w:rPr>
          <w:rFonts w:eastAsiaTheme="minorEastAsia"/>
          <w:lang w:val="en-CA"/>
        </w:rPr>
        <w:t>most recent trends reinforce the broader pattern</w:t>
      </w:r>
      <w:r w:rsidR="0061662C">
        <w:rPr>
          <w:rFonts w:eastAsiaTheme="minorEastAsia"/>
          <w:lang w:val="en-CA"/>
        </w:rPr>
        <w:t xml:space="preserve">s and </w:t>
      </w:r>
      <w:r w:rsidR="00994EB8" w:rsidRPr="00994EB8">
        <w:rPr>
          <w:rFonts w:eastAsiaTheme="minorEastAsia"/>
          <w:lang w:val="en-CA"/>
        </w:rPr>
        <w:t xml:space="preserve">gradual decline. </w:t>
      </w:r>
    </w:p>
    <w:p w14:paraId="066E8983" w14:textId="77777777" w:rsidR="00656659" w:rsidRDefault="00656659" w:rsidP="00994EB8">
      <w:pPr>
        <w:rPr>
          <w:rFonts w:eastAsiaTheme="minorEastAsia"/>
          <w:lang w:val="en-CA"/>
        </w:rPr>
      </w:pPr>
    </w:p>
    <w:p w14:paraId="71D4EE90" w14:textId="2E28A6D2" w:rsidR="00994EB8" w:rsidRPr="00994EB8" w:rsidRDefault="006847F8" w:rsidP="00994EB8">
      <w:pPr>
        <w:rPr>
          <w:rFonts w:eastAsiaTheme="minorEastAsia"/>
          <w:lang w:val="en-CA"/>
        </w:rPr>
      </w:pPr>
      <w:r>
        <w:rPr>
          <w:rFonts w:eastAsiaTheme="minorEastAsia"/>
          <w:lang w:val="en-CA"/>
        </w:rPr>
        <w:t xml:space="preserve">The </w:t>
      </w:r>
      <w:r w:rsidR="00994EB8" w:rsidRPr="00994EB8">
        <w:rPr>
          <w:rFonts w:eastAsiaTheme="minorEastAsia"/>
          <w:lang w:val="en-CA"/>
        </w:rPr>
        <w:t xml:space="preserve">adult federal custodial population decreased from 14,071 persons (47.08 per 100,000) in 2018 to 12,667 persons (40.07 per 100,000) in 2023 </w:t>
      </w:r>
      <w:r w:rsidR="00FD5468">
        <w:rPr>
          <w:rFonts w:eastAsiaTheme="minorEastAsia"/>
          <w:lang w:val="en-CA"/>
        </w:rPr>
        <w:fldChar w:fldCharType="begin"/>
      </w:r>
      <w:r w:rsidR="00F4243E">
        <w:rPr>
          <w:rFonts w:eastAsiaTheme="minorEastAsia"/>
          <w:lang w:val="en-CA"/>
        </w:rPr>
        <w:instrText xml:space="preserve"> ADDIN ZOTERO_ITEM CSL_CITATION {"citationID":"bIcQ4vkL","properties":{"formattedCitation":"(Statistics Canada, 2025b)","plainCitation":"(Statistics Canada, 2025b)","noteIndex":0},"citationItems":[{"id":30987,"uris":["http://zotero.org/users/17128492/items/7IBLRUK9"],"itemData":{"id":30987,"type":"dataset","abstract":"Adult correctional services, custodial and community supervision, average counts of offenders in federal programs, Canada and regions, five years of data.","DOI":"10.25318/3510015501-ENG","note":"Citation Key: StatisticsCanadab","number":"35-10-0155-01","publisher":"Government of Canada","source":"DOI.org (Datacite)","title":"Average counts of offenders in federal programs, Canada and regions","URL":"https://www150.statcan.gc.ca/t1/tbl1/en/tv.action?pid=3510015501","author":[{"literal":"Statistics Canada"}],"accessed":{"date-parts":[["2025",11,13]]},"issued":{"date-parts":[["2025"]]},"citation-key":"StatisticsCanadab"}}],"schema":"https://github.com/citation-style-language/schema/raw/master/csl-citation.json"} </w:instrText>
      </w:r>
      <w:r w:rsidR="00FD5468">
        <w:rPr>
          <w:rFonts w:eastAsiaTheme="minorEastAsia"/>
          <w:lang w:val="en-CA"/>
        </w:rPr>
        <w:fldChar w:fldCharType="separate"/>
      </w:r>
      <w:r w:rsidR="00F4243E" w:rsidRPr="00F4243E">
        <w:t>(Statistics Canada, 2025b)</w:t>
      </w:r>
      <w:r w:rsidR="00FD5468">
        <w:rPr>
          <w:rFonts w:eastAsiaTheme="minorEastAsia"/>
          <w:lang w:val="en-CA"/>
        </w:rPr>
        <w:fldChar w:fldCharType="end"/>
      </w:r>
      <w:r w:rsidR="00994EB8" w:rsidRPr="00994EB8">
        <w:rPr>
          <w:rFonts w:eastAsiaTheme="minorEastAsia"/>
          <w:lang w:val="en-CA"/>
        </w:rPr>
        <w:t>. Within th</w:t>
      </w:r>
      <w:r w:rsidR="00CE36B4">
        <w:rPr>
          <w:rFonts w:eastAsiaTheme="minorEastAsia"/>
          <w:lang w:val="en-CA"/>
        </w:rPr>
        <w:t>e</w:t>
      </w:r>
      <w:r w:rsidR="00994EB8" w:rsidRPr="00994EB8">
        <w:rPr>
          <w:rFonts w:eastAsiaTheme="minorEastAsia"/>
          <w:lang w:val="en-CA"/>
        </w:rPr>
        <w:t xml:space="preserve"> overall count, community supervision under the C</w:t>
      </w:r>
      <w:r w:rsidR="00D06E91">
        <w:rPr>
          <w:rFonts w:eastAsiaTheme="minorEastAsia"/>
          <w:lang w:val="en-CA"/>
        </w:rPr>
        <w:t>SC</w:t>
      </w:r>
      <w:r w:rsidR="00994EB8" w:rsidRPr="00994EB8">
        <w:rPr>
          <w:rFonts w:eastAsiaTheme="minorEastAsia"/>
          <w:lang w:val="en-CA"/>
        </w:rPr>
        <w:t xml:space="preserve"> consisted of several distinct release mechanisms. </w:t>
      </w:r>
      <w:r w:rsidR="00384AF8">
        <w:rPr>
          <w:rFonts w:eastAsiaTheme="minorEastAsia"/>
          <w:lang w:val="en-CA"/>
        </w:rPr>
        <w:t>D</w:t>
      </w:r>
      <w:r w:rsidR="00994EB8" w:rsidRPr="00994EB8">
        <w:rPr>
          <w:rFonts w:eastAsiaTheme="minorEastAsia"/>
          <w:lang w:val="en-CA"/>
        </w:rPr>
        <w:t>ay parole decreased from 1,688.9 in 2018 to 1,452.2; full parole decreased from 4,364.6 to 4,061.9; and statutory release decreased from 2,766.4 to 2,364.8 across the same period</w:t>
      </w:r>
      <w:r w:rsidR="00384AF8">
        <w:rPr>
          <w:rFonts w:eastAsiaTheme="minorEastAsia"/>
          <w:lang w:val="en-CA"/>
        </w:rPr>
        <w:t xml:space="preserve"> in 2023</w:t>
      </w:r>
      <w:r w:rsidR="00994EB8" w:rsidRPr="00994EB8">
        <w:rPr>
          <w:rFonts w:eastAsiaTheme="minorEastAsia"/>
          <w:lang w:val="en-CA"/>
        </w:rPr>
        <w:t xml:space="preserve">. By contrast, long-term supervision orders rose from 457.7 to 483.3, reflecting a narrow set of circumstances in which CSC secures authority to supervise an individual beyond their warrant expiry date </w:t>
      </w:r>
      <w:r w:rsidR="00EB6592">
        <w:rPr>
          <w:rFonts w:eastAsiaTheme="minorEastAsia"/>
          <w:lang w:val="en-CA"/>
        </w:rPr>
        <w:fldChar w:fldCharType="begin"/>
      </w:r>
      <w:r w:rsidR="00F4243E">
        <w:rPr>
          <w:rFonts w:eastAsiaTheme="minorEastAsia"/>
          <w:lang w:val="en-CA"/>
        </w:rPr>
        <w:instrText xml:space="preserve"> ADDIN ZOTERO_ITEM CSL_CITATION {"citationID":"B6NDLyb5","properties":{"formattedCitation":"(Statistics Canada, 2025b)","plainCitation":"(Statistics Canada, 2025b)","noteIndex":0},"citationItems":[{"id":30987,"uris":["http://zotero.org/users/17128492/items/7IBLRUK9"],"itemData":{"id":30987,"type":"dataset","abstract":"Adult correctional services, custodial and community supervision, average counts of offenders in federal programs, Canada and regions, five years of data.","DOI":"10.25318/3510015501-ENG","note":"Citation Key: StatisticsCanadab","number":"35-10-0155-01","publisher":"Government of Canada","source":"DOI.org (Datacite)","title":"Average counts of offenders in federal programs, Canada and regions","URL":"https://www150.statcan.gc.ca/t1/tbl1/en/tv.action?pid=3510015501","author":[{"literal":"Statistics Canada"}],"accessed":{"date-parts":[["2025",11,13]]},"issued":{"date-parts":[["2025"]]},"citation-key":"StatisticsCanadab"}}],"schema":"https://github.com/citation-style-language/schema/raw/master/csl-citation.json"} </w:instrText>
      </w:r>
      <w:r w:rsidR="00EB6592">
        <w:rPr>
          <w:rFonts w:eastAsiaTheme="minorEastAsia"/>
          <w:lang w:val="en-CA"/>
        </w:rPr>
        <w:fldChar w:fldCharType="separate"/>
      </w:r>
      <w:r w:rsidR="00F4243E" w:rsidRPr="00F4243E">
        <w:t>(Statistics Canada, 2025b)</w:t>
      </w:r>
      <w:r w:rsidR="00EB6592">
        <w:rPr>
          <w:rFonts w:eastAsiaTheme="minorEastAsia"/>
          <w:lang w:val="en-CA"/>
        </w:rPr>
        <w:fldChar w:fldCharType="end"/>
      </w:r>
      <w:r w:rsidR="00994EB8" w:rsidRPr="00994EB8">
        <w:rPr>
          <w:rFonts w:eastAsiaTheme="minorEastAsia"/>
          <w:lang w:val="en-CA"/>
        </w:rPr>
        <w:t>.</w:t>
      </w:r>
    </w:p>
    <w:p w14:paraId="10D0F34A" w14:textId="77777777" w:rsidR="00994EB8" w:rsidRPr="00994EB8" w:rsidRDefault="00994EB8" w:rsidP="00994EB8">
      <w:pPr>
        <w:rPr>
          <w:rFonts w:eastAsiaTheme="minorEastAsia"/>
          <w:lang w:val="en-CA"/>
        </w:rPr>
      </w:pPr>
    </w:p>
    <w:p w14:paraId="3B1223CB" w14:textId="226CD848" w:rsidR="00994EB8" w:rsidRPr="00994EB8" w:rsidRDefault="00994EB8" w:rsidP="00994EB8">
      <w:pPr>
        <w:rPr>
          <w:rFonts w:eastAsiaTheme="minorEastAsia"/>
          <w:lang w:val="en-CA"/>
        </w:rPr>
      </w:pPr>
      <w:r w:rsidRPr="00994EB8">
        <w:rPr>
          <w:rFonts w:eastAsiaTheme="minorEastAsia"/>
          <w:lang w:val="en-CA"/>
        </w:rPr>
        <w:t>Long-term supervision patterns at the provincial/territorial level also show sustained declines in probation-related oversight. The average daily number of adults on probation dropped from 96,116 in 2012</w:t>
      </w:r>
      <w:r w:rsidR="001862D1">
        <w:rPr>
          <w:rFonts w:eastAsiaTheme="minorEastAsia"/>
          <w:lang w:val="en-CA"/>
        </w:rPr>
        <w:t>-20</w:t>
      </w:r>
      <w:r w:rsidRPr="00994EB8">
        <w:rPr>
          <w:rFonts w:eastAsiaTheme="minorEastAsia"/>
          <w:lang w:val="en-CA"/>
        </w:rPr>
        <w:t>13 to 60,994 in 2021–</w:t>
      </w:r>
      <w:r w:rsidR="001862D1">
        <w:rPr>
          <w:rFonts w:eastAsiaTheme="minorEastAsia"/>
          <w:lang w:val="en-CA"/>
        </w:rPr>
        <w:t>20</w:t>
      </w:r>
      <w:r w:rsidRPr="00994EB8">
        <w:rPr>
          <w:rFonts w:eastAsiaTheme="minorEastAsia"/>
          <w:lang w:val="en-CA"/>
        </w:rPr>
        <w:t>22</w:t>
      </w:r>
      <w:r w:rsidR="00546D06">
        <w:rPr>
          <w:rFonts w:eastAsiaTheme="minorEastAsia"/>
          <w:lang w:val="en-CA"/>
        </w:rPr>
        <w:t xml:space="preserve"> demonstrating a </w:t>
      </w:r>
      <w:r w:rsidRPr="00994EB8">
        <w:rPr>
          <w:rFonts w:eastAsiaTheme="minorEastAsia"/>
          <w:lang w:val="en-CA"/>
        </w:rPr>
        <w:t xml:space="preserve">reduction of 36.5% </w:t>
      </w:r>
      <w:r w:rsidR="00546D06">
        <w:rPr>
          <w:rFonts w:eastAsiaTheme="minorEastAsia"/>
          <w:lang w:val="en-CA"/>
        </w:rPr>
        <w:fldChar w:fldCharType="begin"/>
      </w:r>
      <w:r w:rsidR="00D64676">
        <w:rPr>
          <w:rFonts w:eastAsiaTheme="minorEastAsia"/>
          <w:lang w:val="en-CA"/>
        </w:rPr>
        <w:instrText xml:space="preserve"> ADDIN ZOTERO_ITEM CSL_CITATION {"citationID":"TLd8fwqw","properties":{"formattedCitation":"(Public Safety Canada, 2023)","plainCitation":"(Public Safety Canada, 2023)","noteIndex":0},"citationItems":[{"id":22574,"uris":["http://zotero.org/users/17128492/items/ZGTGSHQ2"],"itemData":{"id":22574,"type":"report","abstract":"The 2022 Corrections and Conditional Release Statistical Overview provides annual detailed statistics on crime, offender populations, sentencing, parole outcomes, and victims’ data in Canada. It contains data from Public Safety Canada, Correctional Service Canada, Parole Board of Canada, Office of the Correctional Investigator, and Statistics Canada as of 2021-22 and calendar year 2021 including trends over time and key indicators related to the Canadian federal corrections system.","note":"Citation Key: PublicSafetyCanada2023a","page":"182","title":"Corrections and Conditional Release Statistical Overview","author":[{"family":"Public Safety Canada","given":""}],"translator":[{"family":"Public Safety Canada","given":""}],"issued":{"date-parts":[["2023"]]},"citation-key":"PublicSafetyCanada2023a"}}],"schema":"https://github.com/citation-style-language/schema/raw/master/csl-citation.json"} </w:instrText>
      </w:r>
      <w:r w:rsidR="00546D06">
        <w:rPr>
          <w:rFonts w:eastAsiaTheme="minorEastAsia"/>
          <w:lang w:val="en-CA"/>
        </w:rPr>
        <w:fldChar w:fldCharType="separate"/>
      </w:r>
      <w:r w:rsidR="00D64676" w:rsidRPr="00D64676">
        <w:t>(Public Safety Canada, 2023)</w:t>
      </w:r>
      <w:r w:rsidR="00546D06">
        <w:rPr>
          <w:rFonts w:eastAsiaTheme="minorEastAsia"/>
          <w:lang w:val="en-CA"/>
        </w:rPr>
        <w:fldChar w:fldCharType="end"/>
      </w:r>
      <w:r w:rsidRPr="00994EB8">
        <w:rPr>
          <w:rFonts w:eastAsiaTheme="minorEastAsia"/>
          <w:lang w:val="en-CA"/>
        </w:rPr>
        <w:t xml:space="preserve">. Earlier decades show a similar trajectory: probation counts fell from 78,298 in 1994 to 62,656 in 2019, and when adjusted for population growth, the probation rate decreased from 5,687 to 2,528 per 100,000 residents—a 56% decline across twenty-five years </w:t>
      </w:r>
      <w:r w:rsidR="00546D06">
        <w:rPr>
          <w:rFonts w:eastAsiaTheme="minorEastAsia"/>
          <w:lang w:val="en-CA"/>
        </w:rPr>
        <w:fldChar w:fldCharType="begin"/>
      </w:r>
      <w:r w:rsidR="00F4243E">
        <w:rPr>
          <w:rFonts w:eastAsiaTheme="minorEastAsia"/>
          <w:lang w:val="en-CA"/>
        </w:rPr>
        <w:instrText xml:space="preserve"> ADDIN ZOTERO_ITEM CSL_CITATION {"citationID":"LfPZHIho","properties":{"formattedCitation":"(Reid &amp; Cole, 2023)","plainCitation":"(Reid &amp; Cole, 2023)","noteIndex":0},"citationItems":[{"id":13917,"uris":["http://zotero.org/users/17128492/items/BW37M3D3"],"itemData":{"id":13917,"type":"article-journal","container-title":"Canadian journal of criminology and criminal justice = Revue canadienne de criminologie et justice pénale.","DOI":"10.3138/cjccj.2022-0035","ISSN":"1707-7753","issue":"2","note":"number: 2\nCitation Key: Reid2023","page":"37-58","title":"The Road Less Travelled: Probation Trends in Canada Over the Past 30 Years","volume":"65","author":[{"family":"Reid","given":"Andrew A."},{"family":"Cole","given":"David P."}],"issued":{"date-parts":[["2023"]]},"citation-key":"Reid2023"}}],"schema":"https://github.com/citation-style-language/schema/raw/master/csl-citation.json"} </w:instrText>
      </w:r>
      <w:r w:rsidR="00546D06">
        <w:rPr>
          <w:rFonts w:eastAsiaTheme="minorEastAsia"/>
          <w:lang w:val="en-CA"/>
        </w:rPr>
        <w:fldChar w:fldCharType="separate"/>
      </w:r>
      <w:r w:rsidR="00F4243E" w:rsidRPr="00F4243E">
        <w:t>(Reid &amp; Cole, 2023)</w:t>
      </w:r>
      <w:r w:rsidR="00546D06">
        <w:rPr>
          <w:rFonts w:eastAsiaTheme="minorEastAsia"/>
          <w:lang w:val="en-CA"/>
        </w:rPr>
        <w:fldChar w:fldCharType="end"/>
      </w:r>
      <w:r w:rsidRPr="00994EB8">
        <w:rPr>
          <w:rFonts w:eastAsiaTheme="minorEastAsia"/>
          <w:lang w:val="en-CA"/>
        </w:rPr>
        <w:t>.</w:t>
      </w:r>
    </w:p>
    <w:p w14:paraId="41F3E848" w14:textId="77777777" w:rsidR="00994EB8" w:rsidRPr="00994EB8" w:rsidRDefault="00994EB8" w:rsidP="00994EB8">
      <w:pPr>
        <w:rPr>
          <w:rFonts w:eastAsiaTheme="minorEastAsia"/>
          <w:lang w:val="en-CA"/>
        </w:rPr>
      </w:pPr>
    </w:p>
    <w:p w14:paraId="66E1B988" w14:textId="6894A48C" w:rsidR="00994EB8" w:rsidRDefault="00994EB8" w:rsidP="00994EB8">
      <w:pPr>
        <w:rPr>
          <w:rFonts w:eastAsiaTheme="minorEastAsia"/>
          <w:lang w:val="en-CA"/>
        </w:rPr>
      </w:pPr>
      <w:r w:rsidRPr="00994EB8">
        <w:rPr>
          <w:rFonts w:eastAsiaTheme="minorEastAsia"/>
          <w:lang w:val="en-CA"/>
        </w:rPr>
        <w:t>Demographic indicators in recent reporting periods remain consistent with long-standing national trends. M</w:t>
      </w:r>
      <w:r w:rsidR="00CE36B4">
        <w:rPr>
          <w:rFonts w:eastAsiaTheme="minorEastAsia"/>
          <w:lang w:val="en-CA"/>
        </w:rPr>
        <w:t>en</w:t>
      </w:r>
      <w:r w:rsidRPr="00994EB8">
        <w:rPr>
          <w:rFonts w:eastAsiaTheme="minorEastAsia"/>
          <w:lang w:val="en-CA"/>
        </w:rPr>
        <w:t xml:space="preserve"> continue to comprise 80–85% of adults admitted to provincial/territorial custody and approximately 93% of those admitted to federal custody (Malakieh, 2019, 2020). Within provincial and territorial correctional services, probation accounts for roughly 90% of all community supervision, and nearly three-quarters of all adults under any form of correctional control</w:t>
      </w:r>
      <w:r w:rsidR="00CE36B4">
        <w:rPr>
          <w:rFonts w:eastAsiaTheme="minorEastAsia"/>
          <w:lang w:val="en-CA"/>
        </w:rPr>
        <w:t>, i</w:t>
      </w:r>
      <w:r w:rsidRPr="00994EB8">
        <w:rPr>
          <w:rFonts w:eastAsiaTheme="minorEastAsia"/>
          <w:lang w:val="en-CA"/>
        </w:rPr>
        <w:t xml:space="preserve">ncluding custody and community </w:t>
      </w:r>
      <w:r w:rsidR="00CE36B4">
        <w:rPr>
          <w:rFonts w:eastAsiaTheme="minorEastAsia"/>
          <w:lang w:val="en-CA"/>
        </w:rPr>
        <w:t xml:space="preserve">supervision </w:t>
      </w:r>
      <w:r w:rsidRPr="00994EB8">
        <w:rPr>
          <w:rFonts w:eastAsiaTheme="minorEastAsia"/>
          <w:lang w:val="en-CA"/>
        </w:rPr>
        <w:t xml:space="preserve">combined (Malakieh, 2020). The most pronounced demographic feature continues to be the overrepresentation of Indigenous </w:t>
      </w:r>
      <w:r w:rsidR="00CE36B4">
        <w:rPr>
          <w:rFonts w:eastAsiaTheme="minorEastAsia"/>
          <w:lang w:val="en-CA"/>
        </w:rPr>
        <w:t>individuals</w:t>
      </w:r>
      <w:r w:rsidRPr="00994EB8">
        <w:rPr>
          <w:rFonts w:eastAsiaTheme="minorEastAsia"/>
          <w:lang w:val="en-CA"/>
        </w:rPr>
        <w:t>: although representing roughly 4% of the adult population, Indigenous adults accounted for 27% of the federal offender population in 2020–21, and Indigenous women</w:t>
      </w:r>
      <w:r w:rsidR="00CE36B4">
        <w:rPr>
          <w:rFonts w:eastAsiaTheme="minorEastAsia"/>
          <w:lang w:val="en-CA"/>
        </w:rPr>
        <w:t xml:space="preserve">, </w:t>
      </w:r>
      <w:r w:rsidRPr="00994EB8">
        <w:rPr>
          <w:rFonts w:eastAsiaTheme="minorEastAsia"/>
          <w:lang w:val="en-CA"/>
        </w:rPr>
        <w:t>who constitute 43% of federally incarcerated women</w:t>
      </w:r>
      <w:r w:rsidR="00CE36B4">
        <w:rPr>
          <w:rFonts w:eastAsiaTheme="minorEastAsia"/>
          <w:lang w:val="en-CA"/>
        </w:rPr>
        <w:t xml:space="preserve">, </w:t>
      </w:r>
      <w:r w:rsidRPr="00994EB8">
        <w:rPr>
          <w:rFonts w:eastAsiaTheme="minorEastAsia"/>
          <w:lang w:val="en-CA"/>
        </w:rPr>
        <w:t xml:space="preserve">remain the fastest-growing group in federal custody </w:t>
      </w:r>
      <w:r w:rsidR="00C478A6">
        <w:rPr>
          <w:rFonts w:eastAsiaTheme="minorEastAsia"/>
          <w:lang w:val="en-CA"/>
        </w:rPr>
        <w:fldChar w:fldCharType="begin"/>
      </w:r>
      <w:r w:rsidR="00C478A6">
        <w:rPr>
          <w:rFonts w:eastAsiaTheme="minorEastAsia"/>
          <w:lang w:val="en-CA"/>
        </w:rPr>
        <w:instrText xml:space="preserve"> ADDIN ZOTERO_ITEM CSL_CITATION {"citationID":"XkJJJvpn","properties":{"formattedCitation":"(Auditor General of Canada, 2022)","plainCitation":"(Auditor General of Canada, 2022)","noteIndex":0},"citationItems":[{"id":27979,"uris":["http://zotero.org/users/17128492/items/2ID9IQS7"],"itemData":{"id":27979,"type":"report","abstract":"\"This audit focused on whether Correctional Service Canada's (CSC's) programs respond to the diversity of the offender population to support their safe and successful return to the community. This included examining CSC's policies and practices to promote workplace equity, diversity, and inclusion\"--Focus of the audit, page 4","event-place":"Ottawa","language":"eng","note":"OCLC: 1325199524\nISBN 978-0-660-43424-7\nCitation Key: AuditorGeneralOfCanada2022","page":"1-36","publisher":"Office of the Auditor General of Canada","publisher-place":"Ottawa","source":"Open WorldCat","title":"Systemic barriers - Correctional Service Canada: independent auditor's report","title-short":"Systemic barriers - Correctional Service Canada","author":[{"literal":"Auditor General of Canada"}],"issued":{"date-parts":[["2022"]]},"citation-key":"AuditorGeneralOfCanada2022"}}],"schema":"https://github.com/citation-style-language/schema/raw/master/csl-citation.json"} </w:instrText>
      </w:r>
      <w:r w:rsidR="00C478A6">
        <w:rPr>
          <w:rFonts w:eastAsiaTheme="minorEastAsia"/>
          <w:lang w:val="en-CA"/>
        </w:rPr>
        <w:fldChar w:fldCharType="separate"/>
      </w:r>
      <w:r w:rsidR="00C478A6" w:rsidRPr="00C478A6">
        <w:rPr>
          <w:rFonts w:eastAsiaTheme="minorEastAsia"/>
        </w:rPr>
        <w:t>(Auditor General of Canada, 2022)</w:t>
      </w:r>
      <w:r w:rsidR="00C478A6">
        <w:rPr>
          <w:rFonts w:eastAsiaTheme="minorEastAsia"/>
          <w:lang w:val="en-CA"/>
        </w:rPr>
        <w:fldChar w:fldCharType="end"/>
      </w:r>
      <w:r w:rsidRPr="00994EB8">
        <w:rPr>
          <w:rFonts w:eastAsiaTheme="minorEastAsia"/>
          <w:lang w:val="en-CA"/>
        </w:rPr>
        <w:t>.</w:t>
      </w:r>
    </w:p>
    <w:p w14:paraId="5A635F6B" w14:textId="77777777" w:rsidR="00994EB8" w:rsidRDefault="00994EB8" w:rsidP="00994EB8">
      <w:pPr>
        <w:rPr>
          <w:rFonts w:eastAsiaTheme="minorEastAsia"/>
          <w:lang w:val="en-CA"/>
        </w:rPr>
      </w:pPr>
    </w:p>
    <w:p w14:paraId="05B2BA9A" w14:textId="01E84754" w:rsidR="002516EA" w:rsidRDefault="002516EA" w:rsidP="002516EA">
      <w:pPr>
        <w:rPr>
          <w:rFonts w:eastAsiaTheme="minorEastAsia"/>
          <w:lang w:val="en-CA"/>
        </w:rPr>
      </w:pPr>
    </w:p>
    <w:p w14:paraId="2E4F0CE6" w14:textId="1EA6B806" w:rsidR="009E434E" w:rsidRPr="00296738" w:rsidRDefault="00296738" w:rsidP="002516EA">
      <w:pPr>
        <w:rPr>
          <w:rFonts w:eastAsiaTheme="minorEastAsia"/>
          <w:b/>
          <w:bCs/>
          <w:lang w:val="en-CA"/>
        </w:rPr>
      </w:pPr>
      <w:r w:rsidRPr="00296738">
        <w:rPr>
          <w:rFonts w:eastAsiaTheme="minorEastAsia"/>
          <w:b/>
          <w:bCs/>
          <w:lang w:val="en-CA"/>
        </w:rPr>
        <w:t>Youth</w:t>
      </w:r>
      <w:r w:rsidR="00823FE3">
        <w:rPr>
          <w:rFonts w:eastAsiaTheme="minorEastAsia"/>
          <w:b/>
          <w:bCs/>
          <w:lang w:val="en-CA"/>
        </w:rPr>
        <w:t>: C</w:t>
      </w:r>
      <w:r w:rsidRPr="00296738">
        <w:rPr>
          <w:rFonts w:eastAsiaTheme="minorEastAsia"/>
          <w:b/>
          <w:bCs/>
          <w:lang w:val="en-CA"/>
        </w:rPr>
        <w:t>ustodial Versus Community Supervision</w:t>
      </w:r>
    </w:p>
    <w:p w14:paraId="6F1C22ED" w14:textId="77777777" w:rsidR="00D577C2" w:rsidRDefault="00D577C2" w:rsidP="00D577C2">
      <w:pPr>
        <w:rPr>
          <w:rFonts w:eastAsiaTheme="minorEastAsia"/>
          <w:lang w:val="en-CA"/>
        </w:rPr>
      </w:pPr>
    </w:p>
    <w:p w14:paraId="06591DD4" w14:textId="29797C08" w:rsidR="00D577C2" w:rsidRPr="00D577C2" w:rsidRDefault="00D577C2" w:rsidP="00D577C2">
      <w:pPr>
        <w:rPr>
          <w:rFonts w:eastAsiaTheme="minorEastAsia"/>
          <w:lang w:val="en-CA"/>
        </w:rPr>
      </w:pPr>
      <w:r w:rsidRPr="00D577C2">
        <w:rPr>
          <w:rFonts w:eastAsiaTheme="minorEastAsia"/>
          <w:lang w:val="en-CA"/>
        </w:rPr>
        <w:t xml:space="preserve">Youth correctional services in Canada operate entirely within the provincial and territorial systems </w:t>
      </w:r>
      <w:r w:rsidR="00CE36B4">
        <w:rPr>
          <w:rFonts w:eastAsiaTheme="minorEastAsia"/>
          <w:lang w:val="en-CA"/>
        </w:rPr>
        <w:t xml:space="preserve">despite the Act being federal legislation, </w:t>
      </w:r>
      <w:r w:rsidRPr="00D577C2">
        <w:rPr>
          <w:rFonts w:eastAsiaTheme="minorEastAsia"/>
          <w:lang w:val="en-CA"/>
        </w:rPr>
        <w:t xml:space="preserve">there is no federal </w:t>
      </w:r>
      <w:r w:rsidR="00CE36B4">
        <w:rPr>
          <w:rFonts w:eastAsiaTheme="minorEastAsia"/>
          <w:lang w:val="en-CA"/>
        </w:rPr>
        <w:t>youth system</w:t>
      </w:r>
      <w:r w:rsidRPr="00D577C2">
        <w:rPr>
          <w:rFonts w:eastAsiaTheme="minorEastAsia"/>
          <w:lang w:val="en-CA"/>
        </w:rPr>
        <w:t xml:space="preserve">. The most </w:t>
      </w:r>
      <w:r w:rsidRPr="00D577C2">
        <w:rPr>
          <w:rFonts w:eastAsiaTheme="minorEastAsia"/>
          <w:lang w:val="en-CA"/>
        </w:rPr>
        <w:lastRenderedPageBreak/>
        <w:t>recent national data show an incarceration rate of 2.52 per 10,000 young pe</w:t>
      </w:r>
      <w:r w:rsidR="00CE36B4">
        <w:rPr>
          <w:rFonts w:eastAsiaTheme="minorEastAsia"/>
          <w:lang w:val="en-CA"/>
        </w:rPr>
        <w:t>ople. Youth and adult custody are</w:t>
      </w:r>
      <w:r w:rsidRPr="00D577C2">
        <w:rPr>
          <w:rFonts w:eastAsiaTheme="minorEastAsia"/>
          <w:lang w:val="en-CA"/>
        </w:rPr>
        <w:t xml:space="preserve"> distinct</w:t>
      </w:r>
      <w:r w:rsidR="00CE36B4">
        <w:rPr>
          <w:rFonts w:eastAsiaTheme="minorEastAsia"/>
          <w:lang w:val="en-CA"/>
        </w:rPr>
        <w:t xml:space="preserve">, with a much smaller </w:t>
      </w:r>
      <w:r w:rsidRPr="00D577C2">
        <w:rPr>
          <w:rFonts w:eastAsiaTheme="minorEastAsia"/>
          <w:lang w:val="en-CA"/>
        </w:rPr>
        <w:t xml:space="preserve">population </w:t>
      </w:r>
      <w:r w:rsidR="00CE36B4">
        <w:rPr>
          <w:rFonts w:eastAsiaTheme="minorEastAsia"/>
          <w:lang w:val="en-CA"/>
        </w:rPr>
        <w:t xml:space="preserve">of youth under supervision, </w:t>
      </w:r>
      <w:r w:rsidR="00C53FEC">
        <w:rPr>
          <w:rFonts w:eastAsiaTheme="minorEastAsia"/>
          <w:lang w:val="en-CA"/>
        </w:rPr>
        <w:t xml:space="preserve">and </w:t>
      </w:r>
      <w:r w:rsidR="00CE36B4">
        <w:rPr>
          <w:rFonts w:eastAsiaTheme="minorEastAsia"/>
          <w:lang w:val="en-CA"/>
        </w:rPr>
        <w:t xml:space="preserve">few youth ever serving </w:t>
      </w:r>
      <w:r w:rsidRPr="00D577C2">
        <w:rPr>
          <w:rFonts w:eastAsiaTheme="minorEastAsia"/>
          <w:lang w:val="en-CA"/>
        </w:rPr>
        <w:t>custodial sentences under the YCJA</w:t>
      </w:r>
      <w:r>
        <w:rPr>
          <w:rFonts w:eastAsiaTheme="minorEastAsia"/>
          <w:lang w:val="en-CA"/>
        </w:rPr>
        <w:t xml:space="preserve"> </w:t>
      </w:r>
      <w:r>
        <w:rPr>
          <w:rFonts w:eastAsiaTheme="minorEastAsia"/>
          <w:lang w:val="en-CA"/>
        </w:rPr>
        <w:fldChar w:fldCharType="begin"/>
      </w:r>
      <w:r w:rsidR="00F4243E">
        <w:rPr>
          <w:rFonts w:eastAsiaTheme="minorEastAsia"/>
          <w:lang w:val="en-CA"/>
        </w:rPr>
        <w:instrText xml:space="preserve"> ADDIN ZOTERO_ITEM CSL_CITATION {"citationID":"exwDKjwt","properties":{"formattedCitation":"(Bourgon, 2024)","plainCitation":"(Bourgon, 2024)","noteIndex":0},"citationItems":[{"id":28017,"uris":["http://zotero.org/users/17128492/items/CAIZI9TN"],"itemData":{"id":28017,"type":"chapter","collection-number":"15","container-title":"The Routledge Handbook on Global Community Corrections","edition":"1","event-place":"London","ISBN":"978-1-003-30514-9","language":"en","note":"DOI: 10.4324/9781003305149-22\nCitation Key: Bourgon2024","number-of-volumes":"15","page":"315-329","publisher":"Routledge","publisher-place":"London","source":"DOI.org (Crossref)","title":"Community Corrections in Canada","URL":"https://www.taylorfrancis.com/books/9781003305149/chapters/10.4324/9781003305149-22","container-author":[{"family":"Durnescu","given":"Ioan"},{"family":"Byrne","given":"James M."},{"family":"Mackey","given":"Benjamin J."},{"family":"Taxman","given":"Faye S."}],"author":[{"family":"Bourgon","given":"Guy"}],"accessed":{"date-parts":[["2025",10,18]]},"issued":{"date-parts":[["2024",4,30]]},"citation-key":"Bourgon2024"}}],"schema":"https://github.com/citation-style-language/schema/raw/master/csl-citation.json"} </w:instrText>
      </w:r>
      <w:r>
        <w:rPr>
          <w:rFonts w:eastAsiaTheme="minorEastAsia"/>
          <w:lang w:val="en-CA"/>
        </w:rPr>
        <w:fldChar w:fldCharType="separate"/>
      </w:r>
      <w:r w:rsidR="00F4243E" w:rsidRPr="00F4243E">
        <w:t>(Bourgon, 2024)</w:t>
      </w:r>
      <w:r>
        <w:rPr>
          <w:rFonts w:eastAsiaTheme="minorEastAsia"/>
          <w:lang w:val="en-CA"/>
        </w:rPr>
        <w:fldChar w:fldCharType="end"/>
      </w:r>
    </w:p>
    <w:p w14:paraId="23DA0F81" w14:textId="77777777" w:rsidR="00D577C2" w:rsidRPr="00D577C2" w:rsidRDefault="00D577C2" w:rsidP="00D577C2">
      <w:pPr>
        <w:rPr>
          <w:rFonts w:eastAsiaTheme="minorEastAsia"/>
          <w:lang w:val="en-CA"/>
        </w:rPr>
      </w:pPr>
    </w:p>
    <w:p w14:paraId="7F919842" w14:textId="47F7A035" w:rsidR="00D577C2" w:rsidRPr="00D577C2" w:rsidRDefault="00D577C2" w:rsidP="00D577C2">
      <w:pPr>
        <w:rPr>
          <w:rFonts w:eastAsiaTheme="minorEastAsia"/>
          <w:lang w:val="en-CA"/>
        </w:rPr>
      </w:pPr>
      <w:r w:rsidRPr="00D577C2">
        <w:rPr>
          <w:rFonts w:eastAsiaTheme="minorEastAsia"/>
          <w:lang w:val="en-CA"/>
        </w:rPr>
        <w:t>In 2022/2023, the provincial/territorial youth system</w:t>
      </w:r>
      <w:r w:rsidR="00CE36B4">
        <w:rPr>
          <w:rFonts w:eastAsiaTheme="minorEastAsia"/>
          <w:lang w:val="en-CA"/>
        </w:rPr>
        <w:t>s</w:t>
      </w:r>
      <w:r w:rsidRPr="00D577C2">
        <w:rPr>
          <w:rFonts w:eastAsiaTheme="minorEastAsia"/>
          <w:lang w:val="en-CA"/>
        </w:rPr>
        <w:t xml:space="preserve"> recorded 7,481 community admissions relative to 3,479 custodial admissions, indicating </w:t>
      </w:r>
      <w:r w:rsidR="000109B2">
        <w:rPr>
          <w:rFonts w:eastAsiaTheme="minorEastAsia"/>
          <w:lang w:val="en-CA"/>
        </w:rPr>
        <w:t xml:space="preserve">a privileging of </w:t>
      </w:r>
      <w:r w:rsidRPr="00D577C2">
        <w:rPr>
          <w:rFonts w:eastAsiaTheme="minorEastAsia"/>
          <w:lang w:val="en-CA"/>
        </w:rPr>
        <w:t xml:space="preserve">community-based responses </w:t>
      </w:r>
      <w:r w:rsidR="00C53FEC">
        <w:rPr>
          <w:rFonts w:eastAsiaTheme="minorEastAsia"/>
          <w:lang w:val="en-CA"/>
        </w:rPr>
        <w:t xml:space="preserve">for </w:t>
      </w:r>
      <w:r w:rsidRPr="00D577C2">
        <w:rPr>
          <w:rFonts w:eastAsiaTheme="minorEastAsia"/>
          <w:lang w:val="en-CA"/>
        </w:rPr>
        <w:t>youth correctional involvement</w:t>
      </w:r>
      <w:r>
        <w:rPr>
          <w:rFonts w:eastAsiaTheme="minorEastAsia"/>
          <w:lang w:val="en-CA"/>
        </w:rPr>
        <w:t xml:space="preserve"> </w:t>
      </w:r>
      <w:bookmarkStart w:id="1" w:name="_Hlk213956335"/>
      <w:r w:rsidR="00084FCE">
        <w:rPr>
          <w:rFonts w:eastAsiaTheme="minorEastAsia"/>
          <w:lang w:val="en-CA"/>
        </w:rPr>
        <w:fldChar w:fldCharType="begin"/>
      </w:r>
      <w:r w:rsidR="00C478A6">
        <w:rPr>
          <w:rFonts w:eastAsiaTheme="minorEastAsia"/>
          <w:lang w:val="en-CA"/>
        </w:rPr>
        <w:instrText xml:space="preserve"> ADDIN ZOTERO_ITEM CSL_CITATION {"citationID":"njnRvePG","properties":{"formattedCitation":"(Statistics Canada, 2025c)","plainCitation":"(Statistics Canada, 2025c)","noteIndex":0},"citationItems":[{"id":30994,"uris":["http://zotero.org/users/17128492/items/VZJZ2NPT"],"itemData":{"id":30994,"type":"dataset","event-place":"Ottawa","license":"His Majesty the King in Right of Canada, Industry and Statistics Ministires","note":"Citation Key: StatisticsCanada2025b","publisher-place":"Ottawa","title":"Correctional services statistics: Interactive dashboard","title-short":"Interactive dashboard","URL":"https://www150.statcan.gc.ca/n1/pub/71-607-x/71-607-x2019018-eng.htm","version":"Youth","author":[{"literal":"Statistics Canada"}],"accessed":{"date-parts":[["2025",11,13]]},"issued":{"date-parts":[["2025",11,13]]},"citation-key":"StatisticsCanada2025b"}}],"schema":"https://github.com/citation-style-language/schema/raw/master/csl-citation.json"} </w:instrText>
      </w:r>
      <w:r w:rsidR="00084FCE">
        <w:rPr>
          <w:rFonts w:eastAsiaTheme="minorEastAsia"/>
          <w:lang w:val="en-CA"/>
        </w:rPr>
        <w:fldChar w:fldCharType="separate"/>
      </w:r>
      <w:r w:rsidR="00C478A6" w:rsidRPr="00C478A6">
        <w:t>(Statistics Canada, 2025c)</w:t>
      </w:r>
      <w:r w:rsidR="00084FCE">
        <w:rPr>
          <w:rFonts w:eastAsiaTheme="minorEastAsia"/>
          <w:lang w:val="en-CA"/>
        </w:rPr>
        <w:fldChar w:fldCharType="end"/>
      </w:r>
      <w:bookmarkEnd w:id="1"/>
      <w:r w:rsidRPr="00D577C2">
        <w:rPr>
          <w:rFonts w:eastAsiaTheme="minorEastAsia"/>
          <w:lang w:val="en-CA"/>
        </w:rPr>
        <w:t>. On an average day, 3,362.1 youth were supervised in the community, compared with 499.4 youth in custody across all types of secure and open facilities</w:t>
      </w:r>
      <w:r w:rsidR="0042043B">
        <w:rPr>
          <w:rFonts w:eastAsiaTheme="minorEastAsia"/>
          <w:lang w:val="en-CA"/>
        </w:rPr>
        <w:t xml:space="preserve"> </w:t>
      </w:r>
      <w:r w:rsidR="0042043B">
        <w:rPr>
          <w:rFonts w:eastAsiaTheme="minorEastAsia"/>
          <w:lang w:val="en-CA"/>
        </w:rPr>
        <w:fldChar w:fldCharType="begin"/>
      </w:r>
      <w:r w:rsidR="00C478A6">
        <w:rPr>
          <w:rFonts w:eastAsiaTheme="minorEastAsia"/>
          <w:lang w:val="en-CA"/>
        </w:rPr>
        <w:instrText xml:space="preserve"> ADDIN ZOTERO_ITEM CSL_CITATION {"citationID":"ElUq2p3K","properties":{"formattedCitation":"(Statistics Canada, 2025c)","plainCitation":"(Statistics Canada, 2025c)","noteIndex":0},"citationItems":[{"id":30994,"uris":["http://zotero.org/users/17128492/items/VZJZ2NPT"],"itemData":{"id":30994,"type":"dataset","event-place":"Ottawa","license":"His Majesty the King in Right of Canada, Industry and Statistics Ministires","note":"Citation Key: StatisticsCanada2025b","publisher-place":"Ottawa","title":"Correctional services statistics: Interactive dashboard","title-short":"Interactive dashboard","URL":"https://www150.statcan.gc.ca/n1/pub/71-607-x/71-607-x2019018-eng.htm","version":"Youth","author":[{"literal":"Statistics Canada"}],"accessed":{"date-parts":[["2025",11,13]]},"issued":{"date-parts":[["2025",11,13]]},"citation-key":"StatisticsCanada2025b"}}],"schema":"https://github.com/citation-style-language/schema/raw/master/csl-citation.json"} </w:instrText>
      </w:r>
      <w:r w:rsidR="0042043B">
        <w:rPr>
          <w:rFonts w:eastAsiaTheme="minorEastAsia"/>
          <w:lang w:val="en-CA"/>
        </w:rPr>
        <w:fldChar w:fldCharType="separate"/>
      </w:r>
      <w:r w:rsidR="00C478A6" w:rsidRPr="00C478A6">
        <w:t>(Statistics Canada, 2025c)</w:t>
      </w:r>
      <w:r w:rsidR="0042043B">
        <w:rPr>
          <w:rFonts w:eastAsiaTheme="minorEastAsia"/>
          <w:lang w:val="en-CA"/>
        </w:rPr>
        <w:fldChar w:fldCharType="end"/>
      </w:r>
      <w:r w:rsidRPr="00D577C2">
        <w:rPr>
          <w:rFonts w:eastAsiaTheme="minorEastAsia"/>
          <w:lang w:val="en-CA"/>
        </w:rPr>
        <w:t xml:space="preserve">. Within the custodial population, 68% </w:t>
      </w:r>
      <w:r w:rsidR="000109B2">
        <w:rPr>
          <w:rFonts w:eastAsiaTheme="minorEastAsia"/>
          <w:lang w:val="en-CA"/>
        </w:rPr>
        <w:t xml:space="preserve">of youth </w:t>
      </w:r>
      <w:r w:rsidRPr="00D577C2">
        <w:rPr>
          <w:rFonts w:eastAsiaTheme="minorEastAsia"/>
          <w:lang w:val="en-CA"/>
        </w:rPr>
        <w:t>were held in pre-trial detention or other temporary statuses, while 18% were in sentenced secure custody</w:t>
      </w:r>
      <w:r w:rsidR="000109B2">
        <w:rPr>
          <w:rFonts w:eastAsiaTheme="minorEastAsia"/>
          <w:lang w:val="en-CA"/>
        </w:rPr>
        <w:t>,</w:t>
      </w:r>
      <w:r w:rsidRPr="00D577C2">
        <w:rPr>
          <w:rFonts w:eastAsiaTheme="minorEastAsia"/>
          <w:lang w:val="en-CA"/>
        </w:rPr>
        <w:t xml:space="preserve"> and 14% were in sentenced open custody. This distribution illustrates the central role of remand and pre-trial detention in shaping the composition of the youth custodial population</w:t>
      </w:r>
      <w:r w:rsidR="00FE520F">
        <w:rPr>
          <w:rFonts w:eastAsiaTheme="minorEastAsia"/>
          <w:lang w:val="en-CA"/>
        </w:rPr>
        <w:t xml:space="preserve"> </w:t>
      </w:r>
      <w:r w:rsidR="0096661F">
        <w:rPr>
          <w:rFonts w:eastAsiaTheme="minorEastAsia"/>
          <w:lang w:val="en-CA"/>
        </w:rPr>
        <w:fldChar w:fldCharType="begin"/>
      </w:r>
      <w:r w:rsidR="00C478A6">
        <w:rPr>
          <w:rFonts w:eastAsiaTheme="minorEastAsia"/>
          <w:lang w:val="en-CA"/>
        </w:rPr>
        <w:instrText xml:space="preserve"> ADDIN ZOTERO_ITEM CSL_CITATION {"citationID":"R29GCZWn","properties":{"formattedCitation":"(Statistics Canada, 2025c)","plainCitation":"(Statistics Canada, 2025c)","noteIndex":0},"citationItems":[{"id":30994,"uris":["http://zotero.org/users/17128492/items/VZJZ2NPT"],"itemData":{"id":30994,"type":"dataset","event-place":"Ottawa","license":"His Majesty the King in Right of Canada, Industry and Statistics Ministires","note":"Citation Key: StatisticsCanada2025b","publisher-place":"Ottawa","title":"Correctional services statistics: Interactive dashboard","title-short":"Interactive dashboard","URL":"https://www150.statcan.gc.ca/n1/pub/71-607-x/71-607-x2019018-eng.htm","version":"Youth","author":[{"literal":"Statistics Canada"}],"accessed":{"date-parts":[["2025",11,13]]},"issued":{"date-parts":[["2025",11,13]]},"citation-key":"StatisticsCanada2025b"}}],"schema":"https://github.com/citation-style-language/schema/raw/master/csl-citation.json"} </w:instrText>
      </w:r>
      <w:r w:rsidR="0096661F">
        <w:rPr>
          <w:rFonts w:eastAsiaTheme="minorEastAsia"/>
          <w:lang w:val="en-CA"/>
        </w:rPr>
        <w:fldChar w:fldCharType="separate"/>
      </w:r>
      <w:r w:rsidR="00C478A6" w:rsidRPr="00C478A6">
        <w:t>(Statistics Canada, 2025c)</w:t>
      </w:r>
      <w:r w:rsidR="0096661F">
        <w:rPr>
          <w:rFonts w:eastAsiaTheme="minorEastAsia"/>
          <w:lang w:val="en-CA"/>
        </w:rPr>
        <w:fldChar w:fldCharType="end"/>
      </w:r>
      <w:r w:rsidRPr="00D577C2">
        <w:rPr>
          <w:rFonts w:eastAsiaTheme="minorEastAsia"/>
          <w:lang w:val="en-CA"/>
        </w:rPr>
        <w:t>.</w:t>
      </w:r>
    </w:p>
    <w:p w14:paraId="0F8B185C" w14:textId="77777777" w:rsidR="00D577C2" w:rsidRPr="00D577C2" w:rsidRDefault="00D577C2" w:rsidP="00D577C2">
      <w:pPr>
        <w:rPr>
          <w:rFonts w:eastAsiaTheme="minorEastAsia"/>
          <w:lang w:val="en-CA"/>
        </w:rPr>
      </w:pPr>
    </w:p>
    <w:p w14:paraId="663248FA" w14:textId="0466CADD" w:rsidR="00D577C2" w:rsidRPr="00D577C2" w:rsidRDefault="00D577C2" w:rsidP="00D577C2">
      <w:pPr>
        <w:rPr>
          <w:rFonts w:eastAsiaTheme="minorEastAsia"/>
          <w:lang w:val="en-CA"/>
        </w:rPr>
      </w:pPr>
      <w:r w:rsidRPr="00D577C2">
        <w:rPr>
          <w:rFonts w:eastAsiaTheme="minorEastAsia"/>
          <w:lang w:val="en-CA"/>
        </w:rPr>
        <w:t>Demographically, custodial admissions show distinct patterns. Indigenous youth accounted for 46% of all youth custodial admissions, while non-Indigenous youth represented 53% and those with unknown identity comprised 1%</w:t>
      </w:r>
      <w:r w:rsidR="00DD534D">
        <w:rPr>
          <w:rFonts w:eastAsiaTheme="minorEastAsia"/>
          <w:lang w:val="en-CA"/>
        </w:rPr>
        <w:t xml:space="preserve"> </w:t>
      </w:r>
      <w:r w:rsidR="0020772D">
        <w:rPr>
          <w:rFonts w:eastAsiaTheme="minorEastAsia"/>
          <w:lang w:val="en-CA"/>
        </w:rPr>
        <w:fldChar w:fldCharType="begin"/>
      </w:r>
      <w:r w:rsidR="00C478A6">
        <w:rPr>
          <w:rFonts w:eastAsiaTheme="minorEastAsia"/>
          <w:lang w:val="en-CA"/>
        </w:rPr>
        <w:instrText xml:space="preserve"> ADDIN ZOTERO_ITEM CSL_CITATION {"citationID":"1YZKByKK","properties":{"formattedCitation":"(Statistics Canada, 2025f)","plainCitation":"(Statistics Canada, 2025f)","noteIndex":0},"citationItems":[{"id":31000,"uris":["http://zotero.org/users/17128492/items/LTYIEDK5"],"itemData":{"id":31000,"type":"dataset","abstract":"Youth custody and community services, admissions to correctional services by sex and Indigenous identity, five years of data.","DOI":"10.25318/3510000701-ENG","genre":"Table 35-10-0007-01","note":"Citation Key: StatisticsCanada2017","publisher":"Government of Canada","source":"DOI.org (Datacite)","title":"Youth admissions to correctional services, by Indigenous identity and sex","URL":"https://www150.statcan.gc.ca/t1/tbl1/en/tv.action?pid=3510000701","author":[{"literal":"Statistics Canada"}],"accessed":{"date-parts":[["2025",11,13]]},"issued":{"date-parts":[["2025",9,23]]},"citation-key":"StatisticsCanada2017"}}],"schema":"https://github.com/citation-style-language/schema/raw/master/csl-citation.json"} </w:instrText>
      </w:r>
      <w:r w:rsidR="0020772D">
        <w:rPr>
          <w:rFonts w:eastAsiaTheme="minorEastAsia"/>
          <w:lang w:val="en-CA"/>
        </w:rPr>
        <w:fldChar w:fldCharType="separate"/>
      </w:r>
      <w:r w:rsidR="00C478A6" w:rsidRPr="00C478A6">
        <w:t>(Statistics Canada, 2025f)</w:t>
      </w:r>
      <w:r w:rsidR="0020772D">
        <w:rPr>
          <w:rFonts w:eastAsiaTheme="minorEastAsia"/>
          <w:lang w:val="en-CA"/>
        </w:rPr>
        <w:fldChar w:fldCharType="end"/>
      </w:r>
      <w:r w:rsidRPr="00D577C2">
        <w:rPr>
          <w:rFonts w:eastAsiaTheme="minorEastAsia"/>
          <w:lang w:val="en-CA"/>
        </w:rPr>
        <w:t>. Age distributions follow predictable developmental trajectories: custodial admissions increase substantially through mid-adolescence, peaking at 17 years of age</w:t>
      </w:r>
      <w:r w:rsidR="000109B2">
        <w:rPr>
          <w:rFonts w:eastAsiaTheme="minorEastAsia"/>
          <w:lang w:val="en-CA"/>
        </w:rPr>
        <w:t xml:space="preserve"> where the </w:t>
      </w:r>
      <w:r w:rsidRPr="00D577C2">
        <w:rPr>
          <w:rFonts w:eastAsiaTheme="minorEastAsia"/>
          <w:lang w:val="en-CA"/>
        </w:rPr>
        <w:t xml:space="preserve">recorded admission count </w:t>
      </w:r>
      <w:r w:rsidR="000109B2">
        <w:rPr>
          <w:rFonts w:eastAsiaTheme="minorEastAsia"/>
          <w:lang w:val="en-CA"/>
        </w:rPr>
        <w:t xml:space="preserve">is the highest of all </w:t>
      </w:r>
      <w:r w:rsidRPr="00D577C2">
        <w:rPr>
          <w:rFonts w:eastAsiaTheme="minorEastAsia"/>
          <w:lang w:val="en-CA"/>
        </w:rPr>
        <w:t>age groups</w:t>
      </w:r>
      <w:r w:rsidR="00DD534D">
        <w:rPr>
          <w:rFonts w:eastAsiaTheme="minorEastAsia"/>
          <w:lang w:val="en-CA"/>
        </w:rPr>
        <w:t xml:space="preserve"> </w:t>
      </w:r>
      <w:r w:rsidR="00DD534D">
        <w:rPr>
          <w:rFonts w:eastAsiaTheme="minorEastAsia"/>
          <w:lang w:val="en-CA"/>
        </w:rPr>
        <w:fldChar w:fldCharType="begin"/>
      </w:r>
      <w:r w:rsidR="00C478A6">
        <w:rPr>
          <w:rFonts w:eastAsiaTheme="minorEastAsia"/>
          <w:lang w:val="en-CA"/>
        </w:rPr>
        <w:instrText xml:space="preserve"> ADDIN ZOTERO_ITEM CSL_CITATION {"citationID":"ywYJq5Hn","properties":{"formattedCitation":"(Statistics Canada, 2025e)","plainCitation":"(Statistics Canada, 2025e)","noteIndex":0},"citationItems":[{"id":30999,"uris":["http://zotero.org/users/17128492/items/MG979J53"],"itemData":{"id":30999,"type":"dataset","abstract":"Youth custody and community services, admissions to correctional services by sex and age at time of admission, five years of data.","DOI":"10.25318/3510000601-ENG","genre":"Table 35-10-0006-01","note":"Citation Key: StatisticsCanadac","publisher":"Government of Canada","source":"DOI.org (Datacite)","title":"Youth admissions to correctional services, by age and sex","URL":"https://www150.statcan.gc.ca/t1/tbl1/en/tv.action?pid=3510000601","author":[{"literal":"Statistics Canada"}],"accessed":{"date-parts":[["2025",11,13]]},"issued":{"date-parts":[["2025"]]},"citation-key":"StatisticsCanadac"}}],"schema":"https://github.com/citation-style-language/schema/raw/master/csl-citation.json"} </w:instrText>
      </w:r>
      <w:r w:rsidR="00DD534D">
        <w:rPr>
          <w:rFonts w:eastAsiaTheme="minorEastAsia"/>
          <w:lang w:val="en-CA"/>
        </w:rPr>
        <w:fldChar w:fldCharType="separate"/>
      </w:r>
      <w:r w:rsidR="00C478A6" w:rsidRPr="00C478A6">
        <w:t>(Statistics Canada, 2025e)</w:t>
      </w:r>
      <w:r w:rsidR="00DD534D">
        <w:rPr>
          <w:rFonts w:eastAsiaTheme="minorEastAsia"/>
          <w:lang w:val="en-CA"/>
        </w:rPr>
        <w:fldChar w:fldCharType="end"/>
      </w:r>
      <w:r w:rsidRPr="00D577C2">
        <w:rPr>
          <w:rFonts w:eastAsiaTheme="minorEastAsia"/>
          <w:lang w:val="en-CA"/>
        </w:rPr>
        <w:t>. Admissions were lowest at age 12, then rose progressively across ages 13, 14, 15, and 16</w:t>
      </w:r>
      <w:r w:rsidR="000109B2">
        <w:rPr>
          <w:rFonts w:eastAsiaTheme="minorEastAsia"/>
          <w:lang w:val="en-CA"/>
        </w:rPr>
        <w:t xml:space="preserve"> with 18 and over no longer falling under </w:t>
      </w:r>
      <w:r w:rsidRPr="00D577C2">
        <w:rPr>
          <w:rFonts w:eastAsiaTheme="minorEastAsia"/>
          <w:lang w:val="en-CA"/>
        </w:rPr>
        <w:t>youth correctional authority</w:t>
      </w:r>
      <w:r w:rsidR="00DD534D">
        <w:rPr>
          <w:rFonts w:eastAsiaTheme="minorEastAsia"/>
          <w:lang w:val="en-CA"/>
        </w:rPr>
        <w:t xml:space="preserve"> </w:t>
      </w:r>
      <w:r w:rsidR="00DD534D">
        <w:rPr>
          <w:rFonts w:eastAsiaTheme="minorEastAsia"/>
          <w:lang w:val="en-CA"/>
        </w:rPr>
        <w:fldChar w:fldCharType="begin"/>
      </w:r>
      <w:r w:rsidR="00C478A6">
        <w:rPr>
          <w:rFonts w:eastAsiaTheme="minorEastAsia"/>
          <w:lang w:val="en-CA"/>
        </w:rPr>
        <w:instrText xml:space="preserve"> ADDIN ZOTERO_ITEM CSL_CITATION {"citationID":"ECS9NsH4","properties":{"formattedCitation":"(Statistics Canada, 2025e)","plainCitation":"(Statistics Canada, 2025e)","noteIndex":0},"citationItems":[{"id":30999,"uris":["http://zotero.org/users/17128492/items/MG979J53"],"itemData":{"id":30999,"type":"dataset","abstract":"Youth custody and community services, admissions to correctional services by sex and age at time of admission, five years of data.","DOI":"10.25318/3510000601-ENG","genre":"Table 35-10-0006-01","note":"Citation Key: StatisticsCanadac","publisher":"Government of Canada","source":"DOI.org (Datacite)","title":"Youth admissions to correctional services, by age and sex","URL":"https://www150.statcan.gc.ca/t1/tbl1/en/tv.action?pid=3510000601","author":[{"literal":"Statistics Canada"}],"accessed":{"date-parts":[["2025",11,13]]},"issued":{"date-parts":[["2025"]]},"citation-key":"StatisticsCanadac"}}],"schema":"https://github.com/citation-style-language/schema/raw/master/csl-citation.json"} </w:instrText>
      </w:r>
      <w:r w:rsidR="00DD534D">
        <w:rPr>
          <w:rFonts w:eastAsiaTheme="minorEastAsia"/>
          <w:lang w:val="en-CA"/>
        </w:rPr>
        <w:fldChar w:fldCharType="separate"/>
      </w:r>
      <w:r w:rsidR="00C478A6" w:rsidRPr="00C478A6">
        <w:t>(Statistics Canada, 2025e)</w:t>
      </w:r>
      <w:r w:rsidR="00DD534D">
        <w:rPr>
          <w:rFonts w:eastAsiaTheme="minorEastAsia"/>
          <w:lang w:val="en-CA"/>
        </w:rPr>
        <w:fldChar w:fldCharType="end"/>
      </w:r>
      <w:r w:rsidRPr="00D577C2">
        <w:rPr>
          <w:rFonts w:eastAsiaTheme="minorEastAsia"/>
          <w:lang w:val="en-CA"/>
        </w:rPr>
        <w:t>.</w:t>
      </w:r>
    </w:p>
    <w:p w14:paraId="32268A92" w14:textId="77777777" w:rsidR="00D577C2" w:rsidRPr="00D577C2" w:rsidRDefault="00D577C2" w:rsidP="00D577C2">
      <w:pPr>
        <w:rPr>
          <w:rFonts w:eastAsiaTheme="minorEastAsia"/>
          <w:lang w:val="en-CA"/>
        </w:rPr>
      </w:pPr>
    </w:p>
    <w:p w14:paraId="288A638D" w14:textId="058870D1" w:rsidR="009E434E" w:rsidRDefault="00D577C2" w:rsidP="00D577C2">
      <w:pPr>
        <w:rPr>
          <w:rFonts w:eastAsiaTheme="minorEastAsia"/>
          <w:lang w:val="en-CA"/>
        </w:rPr>
      </w:pPr>
      <w:r w:rsidRPr="00D577C2">
        <w:rPr>
          <w:rFonts w:eastAsiaTheme="minorEastAsia"/>
          <w:lang w:val="en-CA"/>
        </w:rPr>
        <w:t>Overall, the youth data reflect a system structurally distinct from adult correction</w:t>
      </w:r>
      <w:r w:rsidR="000109B2">
        <w:rPr>
          <w:rFonts w:eastAsiaTheme="minorEastAsia"/>
          <w:lang w:val="en-CA"/>
        </w:rPr>
        <w:t>al service</w:t>
      </w:r>
      <w:r w:rsidRPr="00D577C2">
        <w:rPr>
          <w:rFonts w:eastAsiaTheme="minorEastAsia"/>
          <w:lang w:val="en-CA"/>
        </w:rPr>
        <w:t>s in scale, legal framework, and intensity. Youth incarceration levels remain low</w:t>
      </w:r>
      <w:r w:rsidR="000109B2">
        <w:rPr>
          <w:rFonts w:eastAsiaTheme="minorEastAsia"/>
          <w:lang w:val="en-CA"/>
        </w:rPr>
        <w:t xml:space="preserve">, low enough to b </w:t>
      </w:r>
      <w:r w:rsidRPr="00D577C2">
        <w:rPr>
          <w:rFonts w:eastAsiaTheme="minorEastAsia"/>
          <w:lang w:val="en-CA"/>
        </w:rPr>
        <w:t>expressed per 10,000 population</w:t>
      </w:r>
      <w:r w:rsidR="000109B2">
        <w:rPr>
          <w:rFonts w:eastAsiaTheme="minorEastAsia"/>
          <w:lang w:val="en-CA"/>
        </w:rPr>
        <w:t xml:space="preserve"> rather than 100,000</w:t>
      </w:r>
      <w:r w:rsidRPr="00D577C2">
        <w:rPr>
          <w:rFonts w:eastAsiaTheme="minorEastAsia"/>
          <w:lang w:val="en-CA"/>
        </w:rPr>
        <w:t xml:space="preserve">, and community supervision represents </w:t>
      </w:r>
      <w:r w:rsidR="00823FE3" w:rsidRPr="00D577C2">
        <w:rPr>
          <w:rFonts w:eastAsiaTheme="minorEastAsia"/>
          <w:lang w:val="en-CA"/>
        </w:rPr>
        <w:t>most of the</w:t>
      </w:r>
      <w:r w:rsidRPr="00D577C2">
        <w:rPr>
          <w:rFonts w:eastAsiaTheme="minorEastAsia"/>
          <w:lang w:val="en-CA"/>
        </w:rPr>
        <w:t xml:space="preserve"> </w:t>
      </w:r>
      <w:r w:rsidR="000109B2">
        <w:rPr>
          <w:rFonts w:eastAsiaTheme="minorEastAsia"/>
          <w:lang w:val="en-CA"/>
        </w:rPr>
        <w:t xml:space="preserve">youth </w:t>
      </w:r>
      <w:r w:rsidRPr="00D577C2">
        <w:rPr>
          <w:rFonts w:eastAsiaTheme="minorEastAsia"/>
          <w:lang w:val="en-CA"/>
        </w:rPr>
        <w:t>correctional involvement. The distribution of custodial statuses highlights the continued significance of pre-trial detention in the youth system, while demographic patterns</w:t>
      </w:r>
      <w:r w:rsidR="000109B2">
        <w:rPr>
          <w:rFonts w:eastAsiaTheme="minorEastAsia"/>
          <w:lang w:val="en-CA"/>
        </w:rPr>
        <w:t xml:space="preserve">, </w:t>
      </w:r>
      <w:r w:rsidRPr="00D577C2">
        <w:rPr>
          <w:rFonts w:eastAsiaTheme="minorEastAsia"/>
          <w:lang w:val="en-CA"/>
        </w:rPr>
        <w:t>particularly the overrepresentation of Indigenous youth</w:t>
      </w:r>
      <w:r w:rsidR="000109B2">
        <w:rPr>
          <w:rFonts w:eastAsiaTheme="minorEastAsia"/>
          <w:lang w:val="en-CA"/>
        </w:rPr>
        <w:t xml:space="preserve">, </w:t>
      </w:r>
      <w:r w:rsidRPr="00D577C2">
        <w:rPr>
          <w:rFonts w:eastAsiaTheme="minorEastAsia"/>
          <w:lang w:val="en-CA"/>
        </w:rPr>
        <w:t>remain</w:t>
      </w:r>
      <w:r w:rsidR="000109B2">
        <w:rPr>
          <w:rFonts w:eastAsiaTheme="minorEastAsia"/>
          <w:lang w:val="en-CA"/>
        </w:rPr>
        <w:t>ing the</w:t>
      </w:r>
      <w:r w:rsidRPr="00D577C2">
        <w:rPr>
          <w:rFonts w:eastAsiaTheme="minorEastAsia"/>
          <w:lang w:val="en-CA"/>
        </w:rPr>
        <w:t xml:space="preserve"> central contextual features of the custodial population.</w:t>
      </w:r>
    </w:p>
    <w:p w14:paraId="5E65419D" w14:textId="77777777" w:rsidR="009E434E" w:rsidRDefault="009E434E" w:rsidP="002516EA">
      <w:pPr>
        <w:rPr>
          <w:rFonts w:eastAsiaTheme="minorEastAsia"/>
          <w:lang w:val="en-CA"/>
        </w:rPr>
      </w:pPr>
    </w:p>
    <w:p w14:paraId="3BAF25B6" w14:textId="77777777" w:rsidR="009E434E" w:rsidRPr="00D8274E" w:rsidRDefault="009E434E" w:rsidP="002516EA">
      <w:pPr>
        <w:rPr>
          <w:rFonts w:eastAsiaTheme="minorEastAsia"/>
          <w:lang w:val="en-CA"/>
        </w:rPr>
      </w:pPr>
    </w:p>
    <w:p w14:paraId="362CADB6" w14:textId="5BCF63F0" w:rsidR="002516EA" w:rsidRDefault="002516EA" w:rsidP="00FA2671">
      <w:pPr>
        <w:pStyle w:val="Author"/>
        <w:contextualSpacing/>
        <w:rPr>
          <w:rFonts w:asciiTheme="majorHAnsi" w:eastAsiaTheme="minorEastAsia" w:hAnsiTheme="majorHAnsi"/>
          <w:bCs/>
          <w:color w:val="25487C"/>
          <w:szCs w:val="30"/>
        </w:rPr>
      </w:pPr>
    </w:p>
    <w:p w14:paraId="204697BD" w14:textId="49B006BB" w:rsidR="00FA2671" w:rsidRDefault="00FA2671" w:rsidP="00B93C2A">
      <w:pPr>
        <w:pStyle w:val="Author"/>
        <w:contextualSpacing/>
        <w:rPr>
          <w:rFonts w:asciiTheme="majorHAnsi" w:eastAsiaTheme="minorEastAsia" w:hAnsiTheme="majorHAnsi"/>
          <w:bCs/>
          <w:color w:val="25487C"/>
          <w:szCs w:val="30"/>
        </w:rPr>
      </w:pPr>
      <w:r w:rsidRPr="00FA2671">
        <w:rPr>
          <w:rFonts w:asciiTheme="majorHAnsi" w:eastAsiaTheme="minorEastAsia" w:hAnsiTheme="majorHAnsi"/>
          <w:bCs/>
          <w:color w:val="25487C"/>
          <w:szCs w:val="30"/>
        </w:rPr>
        <w:t xml:space="preserve">FORMS OF COMMUNITY CORRECTIONS </w:t>
      </w:r>
    </w:p>
    <w:p w14:paraId="5C9788D7" w14:textId="414765B1" w:rsidR="004F447A" w:rsidRPr="008D451C" w:rsidRDefault="004F447A" w:rsidP="004F447A">
      <w:pPr>
        <w:rPr>
          <w:highlight w:val="yellow"/>
        </w:rPr>
      </w:pPr>
    </w:p>
    <w:p w14:paraId="07820072" w14:textId="78A5C0E8" w:rsidR="00C055FB" w:rsidRPr="00C055FB" w:rsidRDefault="00C055FB" w:rsidP="00C055FB">
      <w:pPr>
        <w:rPr>
          <w:rFonts w:eastAsia="Calibri"/>
          <w:lang w:val="en-CA" w:eastAsia="en-CA"/>
        </w:rPr>
      </w:pPr>
      <w:r w:rsidRPr="00C055FB">
        <w:rPr>
          <w:rFonts w:eastAsia="Calibri"/>
          <w:lang w:val="en-CA" w:eastAsia="en-CA"/>
        </w:rPr>
        <w:t xml:space="preserve">Community corrections in Canada encompass a range of sanctions, supervision mechanisms, and reintegration strategies designed to manage individuals in the community rather than in custodial </w:t>
      </w:r>
      <w:r w:rsidR="00394448">
        <w:rPr>
          <w:rFonts w:eastAsia="Calibri"/>
          <w:lang w:val="en-CA" w:eastAsia="en-CA"/>
        </w:rPr>
        <w:t>setting</w:t>
      </w:r>
      <w:r w:rsidRPr="00C055FB">
        <w:rPr>
          <w:rFonts w:eastAsia="Calibri"/>
          <w:lang w:val="en-CA" w:eastAsia="en-CA"/>
        </w:rPr>
        <w:t>. These programs exist across pre-trial, sentencing, and post-incarceration stages and operate under both federal and provincial jurisdiction. The Canadian model emphasizes judicial oversight, proportionality, and rehabilitation within a framework that integrates state supervision and community-based supports.</w:t>
      </w:r>
      <w:r w:rsidR="007C5372">
        <w:rPr>
          <w:rFonts w:eastAsia="Calibri"/>
          <w:lang w:val="en-CA" w:eastAsia="en-CA"/>
        </w:rPr>
        <w:br/>
      </w:r>
      <w:r w:rsidR="007C5372">
        <w:rPr>
          <w:rFonts w:eastAsia="Calibri"/>
          <w:lang w:val="en-CA" w:eastAsia="en-CA"/>
        </w:rPr>
        <w:br/>
      </w:r>
    </w:p>
    <w:p w14:paraId="2157CD2A" w14:textId="77777777" w:rsidR="00C055FB" w:rsidRPr="00C055FB" w:rsidRDefault="00C055FB" w:rsidP="00C055FB">
      <w:pPr>
        <w:rPr>
          <w:rFonts w:eastAsia="Calibri"/>
          <w:lang w:val="en-CA" w:eastAsia="en-CA"/>
        </w:rPr>
      </w:pPr>
    </w:p>
    <w:p w14:paraId="0E33479E" w14:textId="23758013" w:rsidR="007A1B0C" w:rsidRPr="007A1B0C" w:rsidRDefault="007A1B0C" w:rsidP="007A1B0C">
      <w:pPr>
        <w:pStyle w:val="H2"/>
        <w:rPr>
          <w:rFonts w:eastAsia="Calibri"/>
          <w:lang w:val="en-CA" w:eastAsia="en-CA"/>
        </w:rPr>
      </w:pPr>
      <w:r w:rsidRPr="007A1B0C">
        <w:rPr>
          <w:rFonts w:eastAsia="Calibri"/>
          <w:lang w:val="en-CA" w:eastAsia="en-CA"/>
        </w:rPr>
        <w:lastRenderedPageBreak/>
        <w:t>Probation Orders</w:t>
      </w:r>
    </w:p>
    <w:p w14:paraId="604F431A" w14:textId="24187411" w:rsidR="007A1B0C" w:rsidRPr="007A1B0C" w:rsidRDefault="007A1B0C" w:rsidP="007A1B0C">
      <w:pPr>
        <w:rPr>
          <w:rFonts w:eastAsia="Calibri"/>
          <w:lang w:val="en-CA" w:eastAsia="en-CA"/>
        </w:rPr>
      </w:pPr>
      <w:r w:rsidRPr="007A1B0C">
        <w:rPr>
          <w:rFonts w:eastAsia="Calibri"/>
          <w:lang w:val="en-CA" w:eastAsia="en-CA"/>
        </w:rPr>
        <w:t>Probation</w:t>
      </w:r>
      <w:r w:rsidR="00394448">
        <w:rPr>
          <w:rFonts w:eastAsia="Calibri"/>
          <w:lang w:val="en-CA" w:eastAsia="en-CA"/>
        </w:rPr>
        <w:t>, again only part of the provincial and territorial services,</w:t>
      </w:r>
      <w:r w:rsidRPr="007A1B0C">
        <w:rPr>
          <w:rFonts w:eastAsia="Calibri"/>
          <w:lang w:val="en-CA" w:eastAsia="en-CA"/>
        </w:rPr>
        <w:t xml:space="preserve"> remains the most frequently used form of community supervision for both adults and youth in Canada (Weinrath, 2020). In the adult system, probation operates within the parameters of the Criminal Code, where </w:t>
      </w:r>
      <w:r w:rsidR="00394448">
        <w:rPr>
          <w:rFonts w:eastAsia="Calibri"/>
          <w:lang w:val="en-CA" w:eastAsia="en-CA"/>
        </w:rPr>
        <w:t xml:space="preserve">probation </w:t>
      </w:r>
      <w:r w:rsidRPr="007A1B0C">
        <w:rPr>
          <w:rFonts w:eastAsia="Calibri"/>
          <w:lang w:val="en-CA" w:eastAsia="en-CA"/>
        </w:rPr>
        <w:t>can accompany conditional discharges, suspended sentences, or custodial terms of up to two years, but cannot be imposed as an independent sanction (Reid &amp; Cole, 2023). Every probation order begins with three statutory requirements:</w:t>
      </w:r>
      <w:r w:rsidR="00394448">
        <w:rPr>
          <w:rFonts w:eastAsia="Calibri"/>
          <w:lang w:val="en-CA" w:eastAsia="en-CA"/>
        </w:rPr>
        <w:t xml:space="preserve"> i)</w:t>
      </w:r>
      <w:r w:rsidRPr="007A1B0C">
        <w:rPr>
          <w:rFonts w:eastAsia="Calibri"/>
          <w:lang w:val="en-CA" w:eastAsia="en-CA"/>
        </w:rPr>
        <w:t xml:space="preserve"> the individual must keep the peace and be of good behaviour, </w:t>
      </w:r>
      <w:r w:rsidR="00394448">
        <w:rPr>
          <w:rFonts w:eastAsia="Calibri"/>
          <w:lang w:val="en-CA" w:eastAsia="en-CA"/>
        </w:rPr>
        <w:t xml:space="preserve">ii) </w:t>
      </w:r>
      <w:r w:rsidRPr="007A1B0C">
        <w:rPr>
          <w:rFonts w:eastAsia="Calibri"/>
          <w:lang w:val="en-CA" w:eastAsia="en-CA"/>
        </w:rPr>
        <w:t xml:space="preserve">attend court when required, and </w:t>
      </w:r>
      <w:r w:rsidR="00394448">
        <w:rPr>
          <w:rFonts w:eastAsia="Calibri"/>
          <w:lang w:val="en-CA" w:eastAsia="en-CA"/>
        </w:rPr>
        <w:t xml:space="preserve">iii) </w:t>
      </w:r>
      <w:r w:rsidRPr="007A1B0C">
        <w:rPr>
          <w:rFonts w:eastAsia="Calibri"/>
          <w:lang w:val="en-CA" w:eastAsia="en-CA"/>
        </w:rPr>
        <w:t>notify supervising authorities of any change in name, address, or employment. Courts may add further conditions—such as abstaining from substances, reporting to a probation officer, attending treatment, completing community service, complying with curfews, or avoiding particular people or places—when they believe these restrictions will help reduce future offending. While a single adult order may run for up to three years, consecutive or overlapping orders can lead to sustained periods of community supervision.</w:t>
      </w:r>
    </w:p>
    <w:p w14:paraId="5BCE19F4" w14:textId="77777777" w:rsidR="007A1B0C" w:rsidRPr="007A1B0C" w:rsidRDefault="007A1B0C" w:rsidP="007A1B0C">
      <w:pPr>
        <w:rPr>
          <w:rFonts w:eastAsia="Calibri"/>
          <w:lang w:val="en-CA" w:eastAsia="en-CA"/>
        </w:rPr>
      </w:pPr>
    </w:p>
    <w:p w14:paraId="0CC699DC" w14:textId="71E3355D" w:rsidR="007A1B0C" w:rsidRPr="007A1B0C" w:rsidRDefault="007A1B0C" w:rsidP="007A1B0C">
      <w:pPr>
        <w:rPr>
          <w:rFonts w:eastAsia="Calibri"/>
          <w:lang w:val="en-CA" w:eastAsia="en-CA"/>
        </w:rPr>
      </w:pPr>
      <w:r w:rsidRPr="007A1B0C">
        <w:rPr>
          <w:rFonts w:eastAsia="Calibri"/>
          <w:lang w:val="en-CA" w:eastAsia="en-CA"/>
        </w:rPr>
        <w:t xml:space="preserve">Youth probation is structured differently under the </w:t>
      </w:r>
      <w:r w:rsidRPr="007A1B0C">
        <w:rPr>
          <w:rFonts w:eastAsia="Calibri"/>
          <w:i/>
          <w:iCs/>
          <w:lang w:val="en-CA" w:eastAsia="en-CA"/>
        </w:rPr>
        <w:t>Youth Criminal Justice Act</w:t>
      </w:r>
      <w:r w:rsidRPr="007A1B0C">
        <w:rPr>
          <w:rFonts w:eastAsia="Calibri"/>
          <w:lang w:val="en-CA" w:eastAsia="en-CA"/>
        </w:rPr>
        <w:t xml:space="preserve"> (YCJA), which caps probation at two years and limits mandatory requirements to appearing before the court as directed</w:t>
      </w:r>
      <w:r w:rsidR="00394448">
        <w:rPr>
          <w:rFonts w:eastAsia="Calibri"/>
          <w:lang w:val="en-CA" w:eastAsia="en-CA"/>
        </w:rPr>
        <w:t xml:space="preserve">, </w:t>
      </w:r>
      <w:r w:rsidRPr="007A1B0C">
        <w:rPr>
          <w:rFonts w:eastAsia="Calibri"/>
          <w:lang w:val="en-CA" w:eastAsia="en-CA"/>
        </w:rPr>
        <w:t>reflecting the YCJA’s emphasis on minimal intervention, accountability appropriate to developmental stage, and reduced reliance on custody (Reid &amp; Cole, 2023). Since introduc</w:t>
      </w:r>
      <w:r w:rsidR="00394448">
        <w:rPr>
          <w:rFonts w:eastAsia="Calibri"/>
          <w:lang w:val="en-CA" w:eastAsia="en-CA"/>
        </w:rPr>
        <w:t>ed</w:t>
      </w:r>
      <w:r w:rsidRPr="007A1B0C">
        <w:rPr>
          <w:rFonts w:eastAsia="Calibri"/>
          <w:lang w:val="en-CA" w:eastAsia="en-CA"/>
        </w:rPr>
        <w:t xml:space="preserve"> in 2003, the YCJA has substantially reduced youth incarceration, with overall detention and custody rates dropping by nearly half compared to the era of the </w:t>
      </w:r>
      <w:r w:rsidRPr="007854DD">
        <w:rPr>
          <w:rFonts w:eastAsia="Calibri"/>
          <w:i/>
          <w:iCs/>
          <w:lang w:val="en-CA" w:eastAsia="en-CA"/>
        </w:rPr>
        <w:t>Young Offenders Act</w:t>
      </w:r>
      <w:r w:rsidRPr="007A1B0C">
        <w:rPr>
          <w:rFonts w:eastAsia="Calibri"/>
          <w:lang w:val="en-CA" w:eastAsia="en-CA"/>
        </w:rPr>
        <w:t xml:space="preserve">. The </w:t>
      </w:r>
      <w:r w:rsidR="00394448">
        <w:rPr>
          <w:rFonts w:eastAsia="Calibri"/>
          <w:lang w:val="en-CA" w:eastAsia="en-CA"/>
        </w:rPr>
        <w:t>YCJA</w:t>
      </w:r>
      <w:r w:rsidRPr="007A1B0C">
        <w:rPr>
          <w:rFonts w:eastAsia="Calibri"/>
          <w:lang w:val="en-CA" w:eastAsia="en-CA"/>
        </w:rPr>
        <w:t xml:space="preserve"> also expanded the range of community-based sanctions available to youth courts. These include Deferred Custody and Supervision (a close analogue to the adult conditional sentence), Intensive Support and Supervision, and automatic community supervision for the final portion of a youth custody sentence</w:t>
      </w:r>
      <w:r>
        <w:rPr>
          <w:rFonts w:eastAsia="Calibri"/>
          <w:lang w:val="en-CA" w:eastAsia="en-CA"/>
        </w:rPr>
        <w:t xml:space="preserve"> </w:t>
      </w:r>
      <w:r w:rsidRPr="007A1B0C">
        <w:rPr>
          <w:rFonts w:eastAsia="Calibri"/>
          <w:lang w:val="en-CA" w:eastAsia="en-CA"/>
        </w:rPr>
        <w:t>(Bourgon, 2024).</w:t>
      </w:r>
    </w:p>
    <w:p w14:paraId="3A0935D5" w14:textId="77777777" w:rsidR="007A1B0C" w:rsidRPr="007A1B0C" w:rsidRDefault="007A1B0C" w:rsidP="007A1B0C">
      <w:pPr>
        <w:rPr>
          <w:rFonts w:eastAsia="Calibri"/>
          <w:lang w:val="en-CA" w:eastAsia="en-CA"/>
        </w:rPr>
      </w:pPr>
    </w:p>
    <w:p w14:paraId="57B3A64A" w14:textId="7F5EC494" w:rsidR="00C055FB" w:rsidRDefault="007A1B0C" w:rsidP="007A1B0C">
      <w:pPr>
        <w:rPr>
          <w:rFonts w:eastAsia="Calibri"/>
          <w:lang w:val="en-CA" w:eastAsia="en-CA"/>
        </w:rPr>
      </w:pPr>
      <w:r w:rsidRPr="007A1B0C">
        <w:rPr>
          <w:rFonts w:eastAsia="Calibri"/>
          <w:lang w:val="en-CA" w:eastAsia="en-CA"/>
        </w:rPr>
        <w:t xml:space="preserve">In both adult and youth systems, the experience of probation can vary considerably. Although publicly perceived as a rehabilitative alternative to incarceration, probation often carries substantial obligations. Court orders may require regular reporting, strict adherence to curfews, participation in counselling or treatment, financial restitution, or up to 240 hours of community service. These obligations can be demanding, particularly for individuals managing unstable housing, employment limitations, or health needs. Canadian case law emphasizes probation is intended as an alternative to custody and should prioritize rehabilitation rather than deterrence or denunciation, </w:t>
      </w:r>
      <w:r w:rsidR="00394448">
        <w:rPr>
          <w:rFonts w:eastAsia="Calibri"/>
          <w:lang w:val="en-CA" w:eastAsia="en-CA"/>
        </w:rPr>
        <w:t xml:space="preserve">however, </w:t>
      </w:r>
      <w:r w:rsidRPr="007A1B0C">
        <w:rPr>
          <w:rFonts w:eastAsia="Calibri"/>
          <w:lang w:val="en-CA" w:eastAsia="en-CA"/>
        </w:rPr>
        <w:t>in practice many individuals experience the cumulative conditions as restrictive and punitive</w:t>
      </w:r>
      <w:r>
        <w:rPr>
          <w:rFonts w:eastAsia="Calibri"/>
          <w:lang w:val="en-CA" w:eastAsia="en-CA"/>
        </w:rPr>
        <w:t xml:space="preserve"> </w:t>
      </w:r>
      <w:r>
        <w:rPr>
          <w:rFonts w:eastAsia="Calibri"/>
          <w:lang w:val="en-CA" w:eastAsia="en-CA"/>
        </w:rPr>
        <w:fldChar w:fldCharType="begin"/>
      </w:r>
      <w:r w:rsidR="00C040C7">
        <w:rPr>
          <w:rFonts w:eastAsia="Calibri"/>
          <w:lang w:val="en-CA" w:eastAsia="en-CA"/>
        </w:rPr>
        <w:instrText xml:space="preserve"> ADDIN ZOTERO_ITEM CSL_CITATION {"citationID":"YiiXhjth","properties":{"formattedCitation":"(for a review, see Weinrath, 2020)","plainCitation":"(for a review, see Weinrath, 2020)","dontUpdate":true,"noteIndex":0},"citationItems":[{"id":27947,"uris":["http://zotero.org/users/17128492/items/PDNXX3GY"],"itemData":{"id":27947,"type":"chapter","container-title":"ACC adult corrections in Canada","edition":"2nd","event-place":"Whitby, ON","ISBN":"978-1-897160-93-0","language":"eng","note":"Citation Key: Weinrath2020a","page":"87-115","publisher":"De Sitter Publications","publisher-place":"Whitby, ON","title":"Probation and Community Corrections","author":[{"family":"Weinrath","given":"Michael"}],"editor":[{"family":"Weinrath","given":"Michael"},{"family":"Winterdyk","given":"John"}],"issued":{"date-parts":[["2020"]]},"citation-key":"Weinrath2020a"},"prefix":"for a review, see "}],"schema":"https://github.com/citation-style-language/schema/raw/master/csl-citation.json"} </w:instrText>
      </w:r>
      <w:r>
        <w:rPr>
          <w:rFonts w:eastAsia="Calibri"/>
          <w:lang w:val="en-CA" w:eastAsia="en-CA"/>
        </w:rPr>
        <w:fldChar w:fldCharType="separate"/>
      </w:r>
      <w:r w:rsidR="00F4243E" w:rsidRPr="00F4243E">
        <w:t>(</w:t>
      </w:r>
      <w:r w:rsidR="00D675EA" w:rsidRPr="00D675EA">
        <w:t>R. v. Deis, 1996</w:t>
      </w:r>
      <w:r w:rsidR="00D675EA">
        <w:t xml:space="preserve"> as cited in </w:t>
      </w:r>
      <w:proofErr w:type="spellStart"/>
      <w:r w:rsidR="00F4243E" w:rsidRPr="00F4243E">
        <w:t>Weinrath</w:t>
      </w:r>
      <w:proofErr w:type="spellEnd"/>
      <w:r w:rsidR="00F4243E" w:rsidRPr="00F4243E">
        <w:t>, 2020)</w:t>
      </w:r>
      <w:r>
        <w:rPr>
          <w:rFonts w:eastAsia="Calibri"/>
          <w:lang w:val="en-CA" w:eastAsia="en-CA"/>
        </w:rPr>
        <w:fldChar w:fldCharType="end"/>
      </w:r>
    </w:p>
    <w:p w14:paraId="7E38C732" w14:textId="77777777" w:rsidR="007A1B0C" w:rsidRDefault="007A1B0C" w:rsidP="007A1B0C">
      <w:pPr>
        <w:rPr>
          <w:rFonts w:eastAsia="Calibri"/>
          <w:lang w:val="en-CA" w:eastAsia="en-CA"/>
        </w:rPr>
      </w:pPr>
    </w:p>
    <w:p w14:paraId="7A2A739E" w14:textId="77777777" w:rsidR="007A1B0C" w:rsidRPr="00C055FB" w:rsidRDefault="007A1B0C" w:rsidP="007A1B0C">
      <w:pPr>
        <w:rPr>
          <w:rFonts w:eastAsia="Calibri"/>
          <w:lang w:val="en-CA" w:eastAsia="en-CA"/>
        </w:rPr>
      </w:pPr>
    </w:p>
    <w:p w14:paraId="21FF531B" w14:textId="77777777" w:rsidR="00C055FB" w:rsidRPr="00C055FB" w:rsidRDefault="00C055FB" w:rsidP="003452EB">
      <w:pPr>
        <w:pStyle w:val="H2"/>
        <w:rPr>
          <w:rFonts w:eastAsia="Calibri"/>
          <w:lang w:val="en-CA" w:eastAsia="en-CA"/>
        </w:rPr>
      </w:pPr>
      <w:r w:rsidRPr="00C055FB">
        <w:rPr>
          <w:rFonts w:eastAsia="Calibri"/>
          <w:lang w:val="en-CA" w:eastAsia="en-CA"/>
        </w:rPr>
        <w:t>Conditional Sentence Orders (CSOs)</w:t>
      </w:r>
    </w:p>
    <w:p w14:paraId="5B23EDB3" w14:textId="343A96B2" w:rsidR="00C055FB" w:rsidRPr="00C055FB" w:rsidRDefault="00C055FB" w:rsidP="00C055FB">
      <w:pPr>
        <w:rPr>
          <w:rFonts w:eastAsia="Calibri"/>
          <w:lang w:val="en-CA" w:eastAsia="en-CA"/>
        </w:rPr>
      </w:pPr>
      <w:r w:rsidRPr="00C055FB">
        <w:rPr>
          <w:rFonts w:eastAsia="Calibri"/>
          <w:lang w:val="en-CA" w:eastAsia="en-CA"/>
        </w:rPr>
        <w:t xml:space="preserve">Conditional Sentence Orders </w:t>
      </w:r>
      <w:r w:rsidR="00394448">
        <w:rPr>
          <w:rFonts w:eastAsia="Calibri"/>
          <w:lang w:val="en-CA" w:eastAsia="en-CA"/>
        </w:rPr>
        <w:t xml:space="preserve">(CSOs) </w:t>
      </w:r>
      <w:r w:rsidRPr="00C055FB">
        <w:rPr>
          <w:rFonts w:eastAsia="Calibri"/>
          <w:lang w:val="en-CA" w:eastAsia="en-CA"/>
        </w:rPr>
        <w:t xml:space="preserve">were introduced in 1996 to provide an alternative to incarceration for sentences under two years (Reid &amp; Cole, 2023). Although formally custodial, these sentences allow individuals to serve their term in the community under stringent supervision. Often referred to as “house arrest,” CSOs require offenders to comply with conditions comparable to those of probation, including curfews, abstention from alcohol or drugs, geographic restrictions, and participation in treatment programs (Bourgon, 2024). </w:t>
      </w:r>
      <w:r w:rsidRPr="00C055FB">
        <w:rPr>
          <w:rFonts w:eastAsia="Calibri"/>
          <w:lang w:val="en-CA" w:eastAsia="en-CA"/>
        </w:rPr>
        <w:lastRenderedPageBreak/>
        <w:t>Between 1996 and 2019, CSOs accounted for approximately 2–5% of adult sentences, reflecting moderate but consistent usage within the sentencing spectrum</w:t>
      </w:r>
      <w:r w:rsidR="003D2E10">
        <w:rPr>
          <w:rFonts w:eastAsia="Calibri"/>
          <w:lang w:val="en-CA" w:eastAsia="en-CA"/>
        </w:rPr>
        <w:t xml:space="preserve"> </w:t>
      </w:r>
      <w:r w:rsidR="003D2E10">
        <w:rPr>
          <w:rFonts w:eastAsia="Calibri"/>
          <w:lang w:val="en-CA" w:eastAsia="en-CA"/>
        </w:rPr>
        <w:fldChar w:fldCharType="begin"/>
      </w:r>
      <w:r w:rsidR="00F4243E">
        <w:rPr>
          <w:rFonts w:eastAsia="Calibri"/>
          <w:lang w:val="en-CA" w:eastAsia="en-CA"/>
        </w:rPr>
        <w:instrText xml:space="preserve"> ADDIN ZOTERO_ITEM CSL_CITATION {"citationID":"m3vHoLh4","properties":{"formattedCitation":"(Public Safety Canada, 2023)","plainCitation":"(Public Safety Canada, 2023)","noteIndex":0},"citationItems":[{"id":22574,"uris":["http://zotero.org/users/17128492/items/ZGTGSHQ2"],"itemData":{"id":22574,"type":"report","abstract":"The 2022 Corrections and Conditional Release Statistical Overview provides annual detailed statistics on crime, offender populations, sentencing, parole outcomes, and victims’ data in Canada. It contains data from Public Safety Canada, Correctional Service Canada, Parole Board of Canada, Office of the Correctional Investigator, and Statistics Canada as of 2021-22 and calendar year 2021 including trends over time and key indicators related to the Canadian federal corrections system.","note":"Citation Key: PublicSafetyCanada2023a","page":"182","title":"Corrections and Conditional Release Statistical Overview","author":[{"family":"Public Safety Canada","given":""}],"translator":[{"family":"Public Safety Canada","given":""}],"issued":{"date-parts":[["2023"]]},"citation-key":"PublicSafetyCanada2023a"}}],"schema":"https://github.com/citation-style-language/schema/raw/master/csl-citation.json"} </w:instrText>
      </w:r>
      <w:r w:rsidR="003D2E10">
        <w:rPr>
          <w:rFonts w:eastAsia="Calibri"/>
          <w:lang w:val="en-CA" w:eastAsia="en-CA"/>
        </w:rPr>
        <w:fldChar w:fldCharType="separate"/>
      </w:r>
      <w:r w:rsidR="00F4243E" w:rsidRPr="00F4243E">
        <w:t>(Public Safety Canada, 2023)</w:t>
      </w:r>
      <w:r w:rsidR="003D2E10">
        <w:rPr>
          <w:rFonts w:eastAsia="Calibri"/>
          <w:lang w:val="en-CA" w:eastAsia="en-CA"/>
        </w:rPr>
        <w:fldChar w:fldCharType="end"/>
      </w:r>
      <w:r w:rsidRPr="00C055FB">
        <w:rPr>
          <w:rFonts w:eastAsia="Calibri"/>
          <w:lang w:val="en-CA" w:eastAsia="en-CA"/>
        </w:rPr>
        <w:t>.</w:t>
      </w:r>
    </w:p>
    <w:p w14:paraId="0C62E364" w14:textId="77777777" w:rsidR="00C055FB" w:rsidRPr="00C055FB" w:rsidRDefault="00C055FB" w:rsidP="00C055FB">
      <w:pPr>
        <w:rPr>
          <w:rFonts w:eastAsia="Calibri"/>
          <w:lang w:val="en-CA" w:eastAsia="en-CA"/>
        </w:rPr>
      </w:pPr>
    </w:p>
    <w:p w14:paraId="48BA345E" w14:textId="77777777" w:rsidR="00C055FB" w:rsidRPr="00C055FB" w:rsidRDefault="00C055FB" w:rsidP="004A252D">
      <w:pPr>
        <w:pStyle w:val="H2"/>
        <w:rPr>
          <w:rFonts w:eastAsia="Calibri"/>
          <w:lang w:val="en-CA" w:eastAsia="en-CA"/>
        </w:rPr>
      </w:pPr>
      <w:r w:rsidRPr="00C055FB">
        <w:rPr>
          <w:rFonts w:eastAsia="Calibri"/>
          <w:lang w:val="en-CA" w:eastAsia="en-CA"/>
        </w:rPr>
        <w:t>Federal Conditional Release</w:t>
      </w:r>
    </w:p>
    <w:p w14:paraId="2A77C71A" w14:textId="78F9DDAA" w:rsidR="00C055FB" w:rsidRPr="00C055FB" w:rsidRDefault="00C055FB" w:rsidP="00C055FB">
      <w:pPr>
        <w:rPr>
          <w:rFonts w:eastAsia="Calibri"/>
          <w:lang w:val="en-CA" w:eastAsia="en-CA"/>
        </w:rPr>
      </w:pPr>
      <w:r w:rsidRPr="00C055FB">
        <w:rPr>
          <w:rFonts w:eastAsia="Calibri"/>
          <w:lang w:val="en-CA" w:eastAsia="en-CA"/>
        </w:rPr>
        <w:t xml:space="preserve">Under the </w:t>
      </w:r>
      <w:r w:rsidRPr="004A252D">
        <w:rPr>
          <w:rFonts w:eastAsia="Calibri"/>
          <w:i/>
          <w:iCs/>
          <w:lang w:val="en-CA" w:eastAsia="en-CA"/>
        </w:rPr>
        <w:t>Corrections and Conditional Release Act</w:t>
      </w:r>
      <w:r w:rsidRPr="00C055FB">
        <w:rPr>
          <w:rFonts w:eastAsia="Calibri"/>
          <w:lang w:val="en-CA" w:eastAsia="en-CA"/>
        </w:rPr>
        <w:t xml:space="preserve"> (CCRA, 1992), federally sentenced</w:t>
      </w:r>
      <w:r w:rsidR="00394448">
        <w:rPr>
          <w:rFonts w:eastAsia="Calibri"/>
          <w:lang w:val="en-CA" w:eastAsia="en-CA"/>
        </w:rPr>
        <w:t xml:space="preserve"> (i.e., under CSC’s supervision)</w:t>
      </w:r>
      <w:r w:rsidRPr="00C055FB">
        <w:rPr>
          <w:rFonts w:eastAsia="Calibri"/>
          <w:lang w:val="en-CA" w:eastAsia="en-CA"/>
        </w:rPr>
        <w:t xml:space="preserve"> individuals are subject to a structured system of conditional release administered by the P</w:t>
      </w:r>
      <w:r w:rsidR="00394448">
        <w:rPr>
          <w:rFonts w:eastAsia="Calibri"/>
          <w:lang w:val="en-CA" w:eastAsia="en-CA"/>
        </w:rPr>
        <w:t>BC</w:t>
      </w:r>
      <w:r w:rsidRPr="00C055FB">
        <w:rPr>
          <w:rFonts w:eastAsia="Calibri"/>
          <w:lang w:val="en-CA" w:eastAsia="en-CA"/>
        </w:rPr>
        <w:t xml:space="preserve"> and the C</w:t>
      </w:r>
      <w:r w:rsidR="00394448">
        <w:rPr>
          <w:rFonts w:eastAsia="Calibri"/>
          <w:lang w:val="en-CA" w:eastAsia="en-CA"/>
        </w:rPr>
        <w:t>SC</w:t>
      </w:r>
      <w:r w:rsidRPr="00C055FB">
        <w:rPr>
          <w:rFonts w:eastAsia="Calibri"/>
          <w:lang w:val="en-CA" w:eastAsia="en-CA"/>
        </w:rPr>
        <w:t xml:space="preserve">. Four main types of release exist: </w:t>
      </w:r>
      <w:r w:rsidR="00394448">
        <w:rPr>
          <w:rFonts w:eastAsia="Calibri"/>
          <w:lang w:val="en-CA" w:eastAsia="en-CA"/>
        </w:rPr>
        <w:t xml:space="preserve">i) </w:t>
      </w:r>
      <w:r w:rsidRPr="004A252D">
        <w:rPr>
          <w:rFonts w:eastAsia="Calibri"/>
          <w:lang w:val="en-CA" w:eastAsia="en-CA"/>
        </w:rPr>
        <w:t>temporary absences</w:t>
      </w:r>
      <w:r w:rsidRPr="00C055FB">
        <w:rPr>
          <w:rFonts w:eastAsia="Calibri"/>
          <w:lang w:val="en-CA" w:eastAsia="en-CA"/>
        </w:rPr>
        <w:t xml:space="preserve">, </w:t>
      </w:r>
      <w:r w:rsidR="00394448">
        <w:rPr>
          <w:rFonts w:eastAsia="Calibri"/>
          <w:lang w:val="en-CA" w:eastAsia="en-CA"/>
        </w:rPr>
        <w:t xml:space="preserve">ii) </w:t>
      </w:r>
      <w:r w:rsidRPr="00C055FB">
        <w:rPr>
          <w:rFonts w:eastAsia="Calibri"/>
          <w:lang w:val="en-CA" w:eastAsia="en-CA"/>
        </w:rPr>
        <w:t xml:space="preserve">day parole, </w:t>
      </w:r>
      <w:r w:rsidR="00394448">
        <w:rPr>
          <w:rFonts w:eastAsia="Calibri"/>
          <w:lang w:val="en-CA" w:eastAsia="en-CA"/>
        </w:rPr>
        <w:t xml:space="preserve">iii) </w:t>
      </w:r>
      <w:r w:rsidRPr="00C055FB">
        <w:rPr>
          <w:rFonts w:eastAsia="Calibri"/>
          <w:lang w:val="en-CA" w:eastAsia="en-CA"/>
        </w:rPr>
        <w:t xml:space="preserve">full parole, and </w:t>
      </w:r>
      <w:r w:rsidR="00394448">
        <w:rPr>
          <w:rFonts w:eastAsia="Calibri"/>
          <w:lang w:val="en-CA" w:eastAsia="en-CA"/>
        </w:rPr>
        <w:t xml:space="preserve">iii) </w:t>
      </w:r>
      <w:r w:rsidRPr="00C055FB">
        <w:rPr>
          <w:rFonts w:eastAsia="Calibri"/>
          <w:lang w:val="en-CA" w:eastAsia="en-CA"/>
        </w:rPr>
        <w:t>statutory release (Bourgon, 2024; Parole Board of Canada, 2025).</w:t>
      </w:r>
    </w:p>
    <w:p w14:paraId="501DF8D3" w14:textId="77777777" w:rsidR="00C055FB" w:rsidRPr="00C055FB" w:rsidRDefault="00C055FB" w:rsidP="00C055FB">
      <w:pPr>
        <w:rPr>
          <w:rFonts w:eastAsia="Calibri"/>
          <w:lang w:val="en-CA" w:eastAsia="en-CA"/>
        </w:rPr>
      </w:pPr>
    </w:p>
    <w:p w14:paraId="28DFA253" w14:textId="77777777" w:rsidR="00C055FB" w:rsidRPr="00C055FB" w:rsidRDefault="00C055FB" w:rsidP="00C055FB">
      <w:pPr>
        <w:rPr>
          <w:rFonts w:eastAsia="Calibri"/>
          <w:lang w:val="en-CA" w:eastAsia="en-CA"/>
        </w:rPr>
      </w:pPr>
      <w:r w:rsidRPr="004A252D">
        <w:rPr>
          <w:rFonts w:eastAsia="Calibri"/>
          <w:b/>
          <w:bCs/>
          <w:lang w:val="en-CA" w:eastAsia="en-CA"/>
        </w:rPr>
        <w:t>Temporary Absences</w:t>
      </w:r>
      <w:r w:rsidRPr="00C055FB">
        <w:rPr>
          <w:rFonts w:eastAsia="Calibri"/>
          <w:lang w:val="en-CA" w:eastAsia="en-CA"/>
        </w:rPr>
        <w:t xml:space="preserve"> include Escorted Temporary Absences (ETAs), which may occur at any point in a sentence, and Unescorted Temporary Absences (UTAs), which are restricted by security level and time served. Temporary absences are short-term, supervised releases for rehabilitative, family, or medical purposes. In 2022–23, approval rates for ETAs and UTAs exceeded 80%, particularly among women and Indigenous offenders (Parole Board of Canada, 2025).</w:t>
      </w:r>
    </w:p>
    <w:p w14:paraId="266324AB" w14:textId="77777777" w:rsidR="00C055FB" w:rsidRPr="00C055FB" w:rsidRDefault="00C055FB" w:rsidP="00C055FB">
      <w:pPr>
        <w:rPr>
          <w:rFonts w:eastAsia="Calibri"/>
          <w:lang w:val="en-CA" w:eastAsia="en-CA"/>
        </w:rPr>
      </w:pPr>
    </w:p>
    <w:p w14:paraId="448277C8" w14:textId="53083959" w:rsidR="00C055FB" w:rsidRPr="00C055FB" w:rsidRDefault="00C055FB" w:rsidP="00C055FB">
      <w:pPr>
        <w:rPr>
          <w:rFonts w:eastAsia="Calibri"/>
          <w:lang w:val="en-CA" w:eastAsia="en-CA"/>
        </w:rPr>
      </w:pPr>
      <w:r w:rsidRPr="004A252D">
        <w:rPr>
          <w:rFonts w:eastAsia="Calibri"/>
          <w:b/>
          <w:bCs/>
          <w:lang w:val="en-CA" w:eastAsia="en-CA"/>
        </w:rPr>
        <w:t>Day Parole</w:t>
      </w:r>
      <w:r w:rsidRPr="00C055FB">
        <w:rPr>
          <w:rFonts w:eastAsia="Calibri"/>
          <w:lang w:val="en-CA" w:eastAsia="en-CA"/>
        </w:rPr>
        <w:t xml:space="preserve"> permits </w:t>
      </w:r>
      <w:r w:rsidR="00394448">
        <w:rPr>
          <w:rFonts w:eastAsia="Calibri"/>
          <w:lang w:val="en-CA" w:eastAsia="en-CA"/>
        </w:rPr>
        <w:t xml:space="preserve">incarcerated people </w:t>
      </w:r>
      <w:r w:rsidRPr="00C055FB">
        <w:rPr>
          <w:rFonts w:eastAsia="Calibri"/>
          <w:lang w:val="en-CA" w:eastAsia="en-CA"/>
        </w:rPr>
        <w:t>to work, attend treatment, or participate in community activities while residing each night in a correctional facility or community residential centre. Eligibility typically begins six months before the full parole date or after six months in custody. Day parole decisions increased by eight percent in 2022–23</w:t>
      </w:r>
      <w:r w:rsidR="00395184">
        <w:rPr>
          <w:rFonts w:eastAsia="Calibri"/>
          <w:lang w:val="en-CA" w:eastAsia="en-CA"/>
        </w:rPr>
        <w:t xml:space="preserve"> </w:t>
      </w:r>
      <w:r w:rsidRPr="00C055FB">
        <w:rPr>
          <w:rFonts w:eastAsia="Calibri"/>
          <w:lang w:val="en-CA" w:eastAsia="en-CA"/>
        </w:rPr>
        <w:t>(Parole Board of Canada, 2025).</w:t>
      </w:r>
    </w:p>
    <w:p w14:paraId="5C3A0E51" w14:textId="62514D21" w:rsidR="00C055FB" w:rsidRPr="00C055FB" w:rsidRDefault="00394448" w:rsidP="00277A86">
      <w:pPr>
        <w:tabs>
          <w:tab w:val="left" w:pos="1614"/>
        </w:tabs>
        <w:rPr>
          <w:rFonts w:eastAsia="Calibri"/>
          <w:lang w:val="en-CA" w:eastAsia="en-CA"/>
        </w:rPr>
      </w:pPr>
      <w:r>
        <w:rPr>
          <w:rFonts w:eastAsia="Calibri"/>
          <w:lang w:val="en-CA" w:eastAsia="en-CA"/>
        </w:rPr>
        <w:tab/>
      </w:r>
    </w:p>
    <w:p w14:paraId="3A443163" w14:textId="77777777" w:rsidR="00C055FB" w:rsidRPr="00C055FB" w:rsidRDefault="00C055FB" w:rsidP="00C055FB">
      <w:pPr>
        <w:rPr>
          <w:rFonts w:eastAsia="Calibri"/>
          <w:lang w:val="en-CA" w:eastAsia="en-CA"/>
        </w:rPr>
      </w:pPr>
      <w:r w:rsidRPr="004A252D">
        <w:rPr>
          <w:rFonts w:eastAsia="Calibri"/>
          <w:b/>
          <w:bCs/>
          <w:lang w:val="en-CA" w:eastAsia="en-CA"/>
        </w:rPr>
        <w:t>Full Parole</w:t>
      </w:r>
      <w:r w:rsidRPr="00C055FB">
        <w:rPr>
          <w:rFonts w:eastAsia="Calibri"/>
          <w:lang w:val="en-CA" w:eastAsia="en-CA"/>
        </w:rPr>
        <w:t xml:space="preserve"> authorizes offenders to live in the community under supervision for the remainder of their sentence. Eligibility begins after one-third of the sentence or seven years, whichever comes first, and later for life sentences (Government of Canada, 2010). Federal data show consistent growth in the use of Elder-Assisted and Community-Assisted Hearings, especially in Quebec and the Prairie provinces (Parole Board of Canada, 2025).</w:t>
      </w:r>
    </w:p>
    <w:p w14:paraId="65277562" w14:textId="77777777" w:rsidR="00C055FB" w:rsidRPr="00C055FB" w:rsidRDefault="00C055FB" w:rsidP="00C055FB">
      <w:pPr>
        <w:rPr>
          <w:rFonts w:eastAsia="Calibri"/>
          <w:lang w:val="en-CA" w:eastAsia="en-CA"/>
        </w:rPr>
      </w:pPr>
    </w:p>
    <w:p w14:paraId="35CF2950" w14:textId="1231B3A5" w:rsidR="00C055FB" w:rsidRPr="00C055FB" w:rsidRDefault="00C055FB" w:rsidP="00C055FB">
      <w:pPr>
        <w:rPr>
          <w:rFonts w:eastAsia="Calibri"/>
          <w:lang w:val="en-CA" w:eastAsia="en-CA"/>
        </w:rPr>
      </w:pPr>
      <w:r w:rsidRPr="004A252D">
        <w:rPr>
          <w:rFonts w:eastAsia="Calibri"/>
          <w:b/>
          <w:bCs/>
          <w:lang w:val="en-CA" w:eastAsia="en-CA"/>
        </w:rPr>
        <w:t>Statutory Release</w:t>
      </w:r>
      <w:r w:rsidRPr="00C055FB">
        <w:rPr>
          <w:rFonts w:eastAsia="Calibri"/>
          <w:lang w:val="en-CA" w:eastAsia="en-CA"/>
        </w:rPr>
        <w:t xml:space="preserve"> allows most</w:t>
      </w:r>
      <w:r w:rsidR="00394448">
        <w:rPr>
          <w:rFonts w:eastAsia="Calibri"/>
          <w:lang w:val="en-CA" w:eastAsia="en-CA"/>
        </w:rPr>
        <w:t xml:space="preserve">, </w:t>
      </w:r>
      <w:r w:rsidR="00884FE9">
        <w:rPr>
          <w:rFonts w:eastAsia="Calibri"/>
          <w:lang w:val="en-CA" w:eastAsia="en-CA"/>
        </w:rPr>
        <w:t xml:space="preserve">but </w:t>
      </w:r>
      <w:r w:rsidR="00394448">
        <w:rPr>
          <w:rFonts w:eastAsia="Calibri"/>
          <w:lang w:val="en-CA" w:eastAsia="en-CA"/>
        </w:rPr>
        <w:t>not all,</w:t>
      </w:r>
      <w:r w:rsidRPr="00C055FB">
        <w:rPr>
          <w:rFonts w:eastAsia="Calibri"/>
          <w:lang w:val="en-CA" w:eastAsia="en-CA"/>
        </w:rPr>
        <w:t xml:space="preserve"> offenders to serve the final third of their sentence under supervision unless the P</w:t>
      </w:r>
      <w:r w:rsidR="00394448">
        <w:rPr>
          <w:rFonts w:eastAsia="Calibri"/>
          <w:lang w:val="en-CA" w:eastAsia="en-CA"/>
        </w:rPr>
        <w:t>BC</w:t>
      </w:r>
      <w:r w:rsidRPr="00C055FB">
        <w:rPr>
          <w:rFonts w:eastAsia="Calibri"/>
          <w:lang w:val="en-CA" w:eastAsia="en-CA"/>
        </w:rPr>
        <w:t xml:space="preserve"> determines they pose a significant risk of serious harm. In 2022–23, release rates declined slightly to 48% of eligible offenders, with continued regional variation and higher rates among Indigenous individuals (Parole Board of Canada, 2025).</w:t>
      </w:r>
    </w:p>
    <w:p w14:paraId="6770AD70" w14:textId="77777777" w:rsidR="00C055FB" w:rsidRPr="00C055FB" w:rsidRDefault="00C055FB" w:rsidP="00C055FB">
      <w:pPr>
        <w:rPr>
          <w:rFonts w:eastAsia="Calibri"/>
          <w:lang w:val="en-CA" w:eastAsia="en-CA"/>
        </w:rPr>
      </w:pPr>
    </w:p>
    <w:p w14:paraId="68BA978C" w14:textId="77777777" w:rsidR="00C055FB" w:rsidRPr="00C055FB" w:rsidRDefault="00C055FB" w:rsidP="003C20EE">
      <w:pPr>
        <w:pStyle w:val="H2"/>
        <w:rPr>
          <w:rFonts w:eastAsia="Calibri"/>
          <w:lang w:val="en-CA" w:eastAsia="en-CA"/>
        </w:rPr>
      </w:pPr>
      <w:r w:rsidRPr="00C055FB">
        <w:rPr>
          <w:rFonts w:eastAsia="Calibri"/>
          <w:lang w:val="en-CA" w:eastAsia="en-CA"/>
        </w:rPr>
        <w:t>Provincial Conditional Release and Temporary Absences</w:t>
      </w:r>
    </w:p>
    <w:p w14:paraId="5954CB59" w14:textId="74A1F709" w:rsidR="00C055FB" w:rsidRPr="00C055FB" w:rsidRDefault="00C055FB" w:rsidP="00C055FB">
      <w:pPr>
        <w:rPr>
          <w:rFonts w:eastAsia="Calibri"/>
          <w:lang w:val="en-CA" w:eastAsia="en-CA"/>
        </w:rPr>
      </w:pPr>
      <w:r w:rsidRPr="00C055FB">
        <w:rPr>
          <w:rFonts w:eastAsia="Calibri"/>
          <w:lang w:val="en-CA" w:eastAsia="en-CA"/>
        </w:rPr>
        <w:t xml:space="preserve">Provinces and territories administer analogous conditional release mechanisms for offenders serving sentences under two years. For instance, Ontario and Saskatchewan operate temporary absence programs permitting release for work, education, or rehabilitation, typically subject to electronic monitoring or frequent reporting. These systems mirror federal conditional release </w:t>
      </w:r>
      <w:r w:rsidR="00394448">
        <w:rPr>
          <w:rFonts w:eastAsia="Calibri"/>
          <w:lang w:val="en-CA" w:eastAsia="en-CA"/>
        </w:rPr>
        <w:t>while showing variation a</w:t>
      </w:r>
      <w:r w:rsidRPr="00C055FB">
        <w:rPr>
          <w:rFonts w:eastAsia="Calibri"/>
          <w:lang w:val="en-CA" w:eastAsia="en-CA"/>
        </w:rPr>
        <w:t xml:space="preserve">cross jurisdictions in </w:t>
      </w:r>
      <w:r w:rsidR="00394448">
        <w:rPr>
          <w:rFonts w:eastAsia="Calibri"/>
          <w:lang w:val="en-CA" w:eastAsia="en-CA"/>
        </w:rPr>
        <w:t xml:space="preserve">offender </w:t>
      </w:r>
      <w:r w:rsidRPr="00C055FB">
        <w:rPr>
          <w:rFonts w:eastAsia="Calibri"/>
          <w:lang w:val="en-CA" w:eastAsia="en-CA"/>
        </w:rPr>
        <w:t>eligibility and oversight procedures</w:t>
      </w:r>
      <w:r w:rsidR="006A6888">
        <w:rPr>
          <w:rFonts w:eastAsia="Calibri"/>
          <w:lang w:val="en-CA" w:eastAsia="en-CA"/>
        </w:rPr>
        <w:t xml:space="preserve"> </w:t>
      </w:r>
      <w:r w:rsidR="006A6888">
        <w:rPr>
          <w:rFonts w:eastAsia="Calibri"/>
          <w:lang w:val="en-CA" w:eastAsia="en-CA"/>
        </w:rPr>
        <w:fldChar w:fldCharType="begin"/>
      </w:r>
      <w:r w:rsidR="00F4243E">
        <w:rPr>
          <w:rFonts w:eastAsia="Calibri"/>
          <w:lang w:val="en-CA" w:eastAsia="en-CA"/>
        </w:rPr>
        <w:instrText xml:space="preserve"> ADDIN ZOTERO_ITEM CSL_CITATION {"citationID":"A6cbzqYL","properties":{"formattedCitation":"(Parole Board of Canada, 2024)","plainCitation":"(Parole Board of Canada, 2024)","noteIndex":0},"citationItems":[{"id":30852,"uris":["http://zotero.org/users/17128492/items/T3M2FTYQ"],"itemData":{"id":30852,"type":"webpage","abstract":"Parole is a carefully constructed bridge between incarceration and return to the community. It is a conditional release, which allows some offenders to continue to serve the balance of their sentence outside of the institution. Parole does not mean that offenders are completely free, without supervision. It does mean that they have an opportunity, under the supervision and assistance of a parole officer, to become contributing members of society, providing they abide by the conditions of their release. If the conditions of parole are not met, the Board has the power to revoke the parole and return the offender to prison. The decision to grant or deny parole involves a thorough review of information and assessment of risk. The safety of the public is always the paramount consideration in all parole decisions.","language":"eng","note":"Last Modified: 2024-01-22\nCitation Key: ParoleBoardOfCanada2024a","title":"Fact Sheet - Types of Release","URL":"https://www.canada.ca/en/parole-board/corporate/publications-and-forms/types-of-release-fact-sheet.html","author":[{"literal":"Parole Board of Canada"}],"accessed":{"date-parts":[["2025",11,12]]},"issued":{"date-parts":[["2024",1,22]]},"citation-key":"ParoleBoardOfCanada2024a"}}],"schema":"https://github.com/citation-style-language/schema/raw/master/csl-citation.json"} </w:instrText>
      </w:r>
      <w:r w:rsidR="006A6888">
        <w:rPr>
          <w:rFonts w:eastAsia="Calibri"/>
          <w:lang w:val="en-CA" w:eastAsia="en-CA"/>
        </w:rPr>
        <w:fldChar w:fldCharType="separate"/>
      </w:r>
      <w:r w:rsidR="00F4243E" w:rsidRPr="00F4243E">
        <w:t>(Parole Board of Canada, 2024)</w:t>
      </w:r>
      <w:r w:rsidR="006A6888">
        <w:rPr>
          <w:rFonts w:eastAsia="Calibri"/>
          <w:lang w:val="en-CA" w:eastAsia="en-CA"/>
        </w:rPr>
        <w:fldChar w:fldCharType="end"/>
      </w:r>
    </w:p>
    <w:p w14:paraId="2509E7FB" w14:textId="77777777" w:rsidR="00C055FB" w:rsidRPr="00C055FB" w:rsidRDefault="00C055FB" w:rsidP="00C055FB">
      <w:pPr>
        <w:rPr>
          <w:rFonts w:eastAsia="Calibri"/>
          <w:lang w:val="en-CA" w:eastAsia="en-CA"/>
        </w:rPr>
      </w:pPr>
    </w:p>
    <w:p w14:paraId="08154913" w14:textId="77777777" w:rsidR="00C055FB" w:rsidRPr="00C055FB" w:rsidRDefault="00C055FB" w:rsidP="003C20EE">
      <w:pPr>
        <w:pStyle w:val="H2"/>
        <w:rPr>
          <w:rFonts w:eastAsia="Calibri"/>
          <w:lang w:val="en-CA" w:eastAsia="en-CA"/>
        </w:rPr>
      </w:pPr>
      <w:r w:rsidRPr="00C055FB">
        <w:rPr>
          <w:rFonts w:eastAsia="Calibri"/>
          <w:lang w:val="en-CA" w:eastAsia="en-CA"/>
        </w:rPr>
        <w:t>Pre-Trial and Bail Supervision Programs</w:t>
      </w:r>
    </w:p>
    <w:p w14:paraId="33A11CEB" w14:textId="77777777" w:rsidR="00C055FB" w:rsidRPr="00C055FB" w:rsidRDefault="00C055FB" w:rsidP="00C055FB">
      <w:pPr>
        <w:rPr>
          <w:rFonts w:eastAsia="Calibri"/>
          <w:lang w:val="en-CA" w:eastAsia="en-CA"/>
        </w:rPr>
      </w:pPr>
      <w:r w:rsidRPr="00C055FB">
        <w:rPr>
          <w:rFonts w:eastAsia="Calibri"/>
          <w:lang w:val="en-CA" w:eastAsia="en-CA"/>
        </w:rPr>
        <w:t xml:space="preserve">At the pre-sentencing stage, community supervision occurs through bail or judicial interim release supervision programs. These are typically managed by non-profit organizations such as </w:t>
      </w:r>
      <w:r w:rsidRPr="00C055FB">
        <w:rPr>
          <w:rFonts w:eastAsia="Calibri"/>
          <w:lang w:val="en-CA" w:eastAsia="en-CA"/>
        </w:rPr>
        <w:lastRenderedPageBreak/>
        <w:t>the John Howard Society or Elizabeth Fry Society under provincial contracts. Such programs ensure compliance with release conditions (e.g., curfews, substance restrictions) and reduce pretrial detention rates, particularly for marginalized populations.</w:t>
      </w:r>
    </w:p>
    <w:p w14:paraId="46DF33FE" w14:textId="77777777" w:rsidR="00C055FB" w:rsidRPr="00C055FB" w:rsidRDefault="00C055FB" w:rsidP="00C055FB">
      <w:pPr>
        <w:rPr>
          <w:rFonts w:eastAsia="Calibri"/>
          <w:lang w:val="en-CA" w:eastAsia="en-CA"/>
        </w:rPr>
      </w:pPr>
    </w:p>
    <w:p w14:paraId="7BDA8231" w14:textId="77777777" w:rsidR="00C055FB" w:rsidRPr="00C055FB" w:rsidRDefault="00C055FB" w:rsidP="0056314F">
      <w:pPr>
        <w:pStyle w:val="H2"/>
        <w:rPr>
          <w:rFonts w:eastAsia="Calibri"/>
          <w:lang w:val="en-CA" w:eastAsia="en-CA"/>
        </w:rPr>
      </w:pPr>
      <w:r w:rsidRPr="00C055FB">
        <w:rPr>
          <w:rFonts w:eastAsia="Calibri"/>
          <w:lang w:val="en-CA" w:eastAsia="en-CA"/>
        </w:rPr>
        <w:t>Community Service and Restorative Justice Programs</w:t>
      </w:r>
    </w:p>
    <w:p w14:paraId="08C199B9" w14:textId="7ED505ED" w:rsidR="00C055FB" w:rsidRPr="00C055FB" w:rsidRDefault="00C055FB" w:rsidP="00C055FB">
      <w:pPr>
        <w:rPr>
          <w:rFonts w:eastAsia="Calibri"/>
          <w:lang w:val="en-CA" w:eastAsia="en-CA"/>
        </w:rPr>
      </w:pPr>
      <w:r w:rsidRPr="00C055FB">
        <w:rPr>
          <w:rFonts w:eastAsia="Calibri"/>
          <w:lang w:val="en-CA" w:eastAsia="en-CA"/>
        </w:rPr>
        <w:t xml:space="preserve">Community service may function as a condition of probation or </w:t>
      </w:r>
      <w:r w:rsidR="00394448">
        <w:rPr>
          <w:rFonts w:eastAsia="Calibri"/>
          <w:lang w:val="en-CA" w:eastAsia="en-CA"/>
        </w:rPr>
        <w:t xml:space="preserve">as </w:t>
      </w:r>
      <w:r w:rsidRPr="00C055FB">
        <w:rPr>
          <w:rFonts w:eastAsia="Calibri"/>
          <w:lang w:val="en-CA" w:eastAsia="en-CA"/>
        </w:rPr>
        <w:t>a stand-alone sanction. Restorative justice programs</w:t>
      </w:r>
      <w:r w:rsidR="00394448">
        <w:rPr>
          <w:rFonts w:eastAsia="Calibri"/>
          <w:lang w:val="en-CA" w:eastAsia="en-CA"/>
        </w:rPr>
        <w:t xml:space="preserve">, </w:t>
      </w:r>
      <w:r w:rsidRPr="00C055FB">
        <w:rPr>
          <w:rFonts w:eastAsia="Calibri"/>
          <w:lang w:val="en-CA" w:eastAsia="en-CA"/>
        </w:rPr>
        <w:t>including mediation, community conferencing, and diversion initiatives</w:t>
      </w:r>
      <w:r w:rsidR="00394448">
        <w:rPr>
          <w:rFonts w:eastAsia="Calibri"/>
          <w:lang w:val="en-CA" w:eastAsia="en-CA"/>
        </w:rPr>
        <w:t xml:space="preserve">, </w:t>
      </w:r>
      <w:r w:rsidRPr="00C055FB">
        <w:rPr>
          <w:rFonts w:eastAsia="Calibri"/>
          <w:lang w:val="en-CA" w:eastAsia="en-CA"/>
        </w:rPr>
        <w:t>offer non-custodial alternatives that prioritize victim reparation and community participation. These approaches are especially prevalent within Indigenous and northern justice systems, where community justice committees play a supervisory and restorative role.</w:t>
      </w:r>
    </w:p>
    <w:p w14:paraId="063314DE" w14:textId="77777777" w:rsidR="00C055FB" w:rsidRPr="00C055FB" w:rsidRDefault="00C055FB" w:rsidP="00C055FB">
      <w:pPr>
        <w:rPr>
          <w:rFonts w:eastAsia="Calibri"/>
          <w:lang w:val="en-CA" w:eastAsia="en-CA"/>
        </w:rPr>
      </w:pPr>
    </w:p>
    <w:p w14:paraId="70B44723" w14:textId="0B619F90" w:rsidR="00C055FB" w:rsidRPr="00C055FB" w:rsidRDefault="00C055FB" w:rsidP="0056314F">
      <w:pPr>
        <w:pStyle w:val="H2"/>
        <w:rPr>
          <w:rFonts w:eastAsia="Calibri"/>
          <w:lang w:val="en-CA" w:eastAsia="en-CA"/>
        </w:rPr>
      </w:pPr>
      <w:r w:rsidRPr="00C055FB">
        <w:rPr>
          <w:rFonts w:eastAsia="Calibri"/>
          <w:lang w:val="en-CA" w:eastAsia="en-CA"/>
        </w:rPr>
        <w:t xml:space="preserve">Electronic Monitoring </w:t>
      </w:r>
      <w:r w:rsidR="00DC362E">
        <w:rPr>
          <w:rFonts w:eastAsia="Calibri"/>
          <w:lang w:val="en-CA" w:eastAsia="en-CA"/>
        </w:rPr>
        <w:t xml:space="preserve">&amp; </w:t>
      </w:r>
      <w:r w:rsidR="00DC362E" w:rsidRPr="00DC362E">
        <w:rPr>
          <w:rFonts w:eastAsia="Calibri"/>
          <w:lang w:val="en-CA" w:eastAsia="en-CA"/>
        </w:rPr>
        <w:t>Intensive Supervision</w:t>
      </w:r>
    </w:p>
    <w:p w14:paraId="6D57395C" w14:textId="38307A19" w:rsidR="00DC362E" w:rsidRDefault="007834C5" w:rsidP="00C055FB">
      <w:pPr>
        <w:rPr>
          <w:rFonts w:eastAsia="Calibri"/>
          <w:lang w:val="en-CA" w:eastAsia="en-CA"/>
        </w:rPr>
      </w:pPr>
      <w:r w:rsidRPr="007834C5">
        <w:rPr>
          <w:rFonts w:eastAsia="Calibri"/>
          <w:lang w:val="en-CA" w:eastAsia="en-CA"/>
        </w:rPr>
        <w:t>Electronic monitoring (EM) is used selectively across Canadian jurisdictions. Seven provinces and territories currently operate EM programs, while six use none, reflecting significant regional variation in adoption</w:t>
      </w:r>
      <w:r w:rsidR="00C41439">
        <w:rPr>
          <w:rFonts w:eastAsia="Calibri"/>
          <w:lang w:val="en-CA" w:eastAsia="en-CA"/>
        </w:rPr>
        <w:t xml:space="preserve"> </w:t>
      </w:r>
      <w:r w:rsidR="00BF7275">
        <w:rPr>
          <w:rFonts w:eastAsia="Calibri"/>
          <w:lang w:val="en-CA" w:eastAsia="en-CA"/>
        </w:rPr>
        <w:fldChar w:fldCharType="begin"/>
      </w:r>
      <w:r w:rsidR="00F4243E">
        <w:rPr>
          <w:rFonts w:eastAsia="Calibri"/>
          <w:lang w:val="en-CA" w:eastAsia="en-CA"/>
        </w:rPr>
        <w:instrText xml:space="preserve"> ADDIN ZOTERO_ITEM CSL_CITATION {"citationID":"bvWA1Hdg","properties":{"formattedCitation":"(McDonald, 2015)","plainCitation":"(McDonald, 2015)","noteIndex":0},"citationItems":[{"id":25114,"uris":["http://zotero.org/users/17128492/items/H6PWK29R"],"itemData":{"id":25114,"type":"article-journal","abstract":"Provides an overview of electronic monitoring programs, legislation, and practices across Canadian jurisdictions, including program types, deployment, and evaluative research.","container-title":"The Journal of Offender Monitoring","language":"English","note":"Citation Key: McDonald2015","page":"13-27","title":"Electronic Monitoring in Canada: Federal and Provincial/Territorial Law and Practice","author":[{"family":"McDonald","given":"Deirdre"}],"issued":{"date-parts":[["2015"]]},"citation-key":"McDonald2015"}}],"schema":"https://github.com/citation-style-language/schema/raw/master/csl-citation.json"} </w:instrText>
      </w:r>
      <w:r w:rsidR="00BF7275">
        <w:rPr>
          <w:rFonts w:eastAsia="Calibri"/>
          <w:lang w:val="en-CA" w:eastAsia="en-CA"/>
        </w:rPr>
        <w:fldChar w:fldCharType="separate"/>
      </w:r>
      <w:r w:rsidR="00F4243E" w:rsidRPr="00F4243E">
        <w:t>(McDonald, 2015)</w:t>
      </w:r>
      <w:r w:rsidR="00BF7275">
        <w:rPr>
          <w:rFonts w:eastAsia="Calibri"/>
          <w:lang w:val="en-CA" w:eastAsia="en-CA"/>
        </w:rPr>
        <w:fldChar w:fldCharType="end"/>
      </w:r>
      <w:r w:rsidRPr="007834C5">
        <w:rPr>
          <w:rFonts w:eastAsia="Calibri"/>
          <w:lang w:val="en-CA" w:eastAsia="en-CA"/>
        </w:rPr>
        <w:t xml:space="preserve">. Even where implemented, EM typically serves a limited subset of cases involving heightened supervision needs such as bail, conditional sentences, or temporary absences. The research base on effectiveness remains limited. Early evaluations—including the Bonta, Wallace-Capretta, and Rooney (2000) study of radio-frequency monitoring found </w:t>
      </w:r>
      <w:r w:rsidR="00BF7275">
        <w:rPr>
          <w:rFonts w:eastAsia="Calibri"/>
          <w:lang w:val="en-CA" w:eastAsia="en-CA"/>
        </w:rPr>
        <w:t xml:space="preserve">limited </w:t>
      </w:r>
      <w:r w:rsidRPr="007834C5">
        <w:rPr>
          <w:rFonts w:eastAsia="Calibri"/>
          <w:lang w:val="en-CA" w:eastAsia="en-CA"/>
        </w:rPr>
        <w:t>impact on recidivism rates</w:t>
      </w:r>
      <w:r w:rsidR="007C6261">
        <w:rPr>
          <w:rFonts w:eastAsia="Calibri"/>
          <w:lang w:val="en-CA" w:eastAsia="en-CA"/>
        </w:rPr>
        <w:t xml:space="preserve"> </w:t>
      </w:r>
      <w:r w:rsidR="007C6261">
        <w:rPr>
          <w:rFonts w:eastAsia="Calibri"/>
          <w:lang w:val="en-CA" w:eastAsia="en-CA"/>
        </w:rPr>
        <w:fldChar w:fldCharType="begin"/>
      </w:r>
      <w:r w:rsidR="00F4243E">
        <w:rPr>
          <w:rFonts w:eastAsia="Calibri"/>
          <w:lang w:val="en-CA" w:eastAsia="en-CA"/>
        </w:rPr>
        <w:instrText xml:space="preserve"> ADDIN ZOTERO_ITEM CSL_CITATION {"citationID":"7hdXP6Fy","properties":{"formattedCitation":"(as cited in McDonald, 2015; Weinrath, 2020)","plainCitation":"(as cited in McDonald, 2015; Weinrath, 2020)","noteIndex":0},"citationItems":[{"id":25114,"uris":["http://zotero.org/users/17128492/items/H6PWK29R"],"itemData":{"id":25114,"type":"article-journal","abstract":"Provides an overview of electronic monitoring programs, legislation, and practices across Canadian jurisdictions, including program types, deployment, and evaluative research.","container-title":"The Journal of Offender Monitoring","language":"English","note":"Citation Key: McDonald2015","page":"13-27","title":"Electronic Monitoring in Canada: Federal and Provincial/Territorial Law and Practice","author":[{"family":"McDonald","given":"Deirdre"}],"issued":{"date-parts":[["2015"]]},"citation-key":"McDonald2015"},"prefix":"as cited in "},{"id":27947,"uris":["http://zotero.org/users/17128492/items/PDNXX3GY"],"itemData":{"id":27947,"type":"chapter","container-title":"ACC adult corrections in Canada","edition":"2nd","event-place":"Whitby, ON","ISBN":"978-1-897160-93-0","language":"eng","note":"Citation Key: Weinrath2020a","page":"87-115","publisher":"De Sitter Publications","publisher-place":"Whitby, ON","title":"Probation and Community Corrections","author":[{"family":"Weinrath","given":"Michael"}],"editor":[{"family":"Weinrath","given":"Michael"},{"family":"Winterdyk","given":"John"}],"issued":{"date-parts":[["2020"]]},"citation-key":"Weinrath2020a"}}],"schema":"https://github.com/citation-style-language/schema/raw/master/csl-citation.json"} </w:instrText>
      </w:r>
      <w:r w:rsidR="007C6261">
        <w:rPr>
          <w:rFonts w:eastAsia="Calibri"/>
          <w:lang w:val="en-CA" w:eastAsia="en-CA"/>
        </w:rPr>
        <w:fldChar w:fldCharType="separate"/>
      </w:r>
      <w:r w:rsidR="00F4243E" w:rsidRPr="00F4243E">
        <w:t>(as cited in McDonald, 2015; Weinrath, 2020)</w:t>
      </w:r>
      <w:r w:rsidR="007C6261">
        <w:rPr>
          <w:rFonts w:eastAsia="Calibri"/>
          <w:lang w:val="en-CA" w:eastAsia="en-CA"/>
        </w:rPr>
        <w:fldChar w:fldCharType="end"/>
      </w:r>
      <w:r w:rsidR="005377C4">
        <w:rPr>
          <w:rFonts w:eastAsia="Calibri"/>
        </w:rPr>
        <w:t xml:space="preserve">. </w:t>
      </w:r>
      <w:r w:rsidRPr="007834C5">
        <w:rPr>
          <w:rFonts w:eastAsia="Calibri"/>
          <w:lang w:val="en-CA" w:eastAsia="en-CA"/>
        </w:rPr>
        <w:t xml:space="preserve">Subsequent federal pilot programs have shown inconclusive rehabilitative impact and raised concerns about cost-effectiveness. More recent GPS-based systems </w:t>
      </w:r>
      <w:r w:rsidR="00394448">
        <w:rPr>
          <w:rFonts w:eastAsia="Calibri"/>
          <w:lang w:val="en-CA" w:eastAsia="en-CA"/>
        </w:rPr>
        <w:t>lack</w:t>
      </w:r>
      <w:r w:rsidRPr="007834C5">
        <w:rPr>
          <w:rFonts w:eastAsia="Calibri"/>
          <w:lang w:val="en-CA" w:eastAsia="en-CA"/>
        </w:rPr>
        <w:t xml:space="preserve"> rigorous evaluat</w:t>
      </w:r>
      <w:r w:rsidR="00394448">
        <w:rPr>
          <w:rFonts w:eastAsia="Calibri"/>
          <w:lang w:val="en-CA" w:eastAsia="en-CA"/>
        </w:rPr>
        <w:t xml:space="preserve">ion to </w:t>
      </w:r>
      <w:r w:rsidRPr="007834C5">
        <w:rPr>
          <w:rFonts w:eastAsia="Calibri"/>
          <w:lang w:val="en-CA" w:eastAsia="en-CA"/>
        </w:rPr>
        <w:t>scale, leaving critical questions about their effectiveness, proportionality, and role in community corrections largely unanswered</w:t>
      </w:r>
      <w:r w:rsidR="005377C4">
        <w:rPr>
          <w:rFonts w:eastAsia="Calibri"/>
          <w:lang w:val="en-CA" w:eastAsia="en-CA"/>
        </w:rPr>
        <w:t>.</w:t>
      </w:r>
    </w:p>
    <w:p w14:paraId="3FED1625" w14:textId="77777777" w:rsidR="005377C4" w:rsidRPr="00C055FB" w:rsidRDefault="005377C4" w:rsidP="00C055FB">
      <w:pPr>
        <w:rPr>
          <w:rFonts w:eastAsia="Calibri"/>
          <w:lang w:val="en-CA" w:eastAsia="en-CA"/>
        </w:rPr>
      </w:pPr>
    </w:p>
    <w:p w14:paraId="4BE055E7" w14:textId="77777777" w:rsidR="00C055FB" w:rsidRPr="00C055FB" w:rsidRDefault="00C055FB" w:rsidP="00511B38">
      <w:pPr>
        <w:pStyle w:val="H2"/>
        <w:rPr>
          <w:rFonts w:eastAsia="Calibri"/>
          <w:lang w:val="en-CA" w:eastAsia="en-CA"/>
        </w:rPr>
      </w:pPr>
      <w:r w:rsidRPr="00C055FB">
        <w:rPr>
          <w:rFonts w:eastAsia="Calibri"/>
          <w:lang w:val="en-CA" w:eastAsia="en-CA"/>
        </w:rPr>
        <w:t>Community Residential Facilities and Halfway Houses</w:t>
      </w:r>
    </w:p>
    <w:p w14:paraId="784C59F4" w14:textId="77777777" w:rsidR="00C055FB" w:rsidRPr="00C055FB" w:rsidRDefault="00C055FB" w:rsidP="00C055FB">
      <w:pPr>
        <w:rPr>
          <w:rFonts w:eastAsia="Calibri"/>
          <w:lang w:val="en-CA" w:eastAsia="en-CA"/>
        </w:rPr>
      </w:pPr>
      <w:r w:rsidRPr="00C055FB">
        <w:rPr>
          <w:rFonts w:eastAsia="Calibri"/>
          <w:lang w:val="en-CA" w:eastAsia="en-CA"/>
        </w:rPr>
        <w:t>Community Residential Facilities (CRFs), often known as halfway houses, are critical infrastructures within community corrections. Operated by contracted non-governmental organizations such as the John Howard Society or culturally specific Indigenous agencies, CRFs provide structured living arrangements, supervision, and support for individuals on parole, statutory release, or temporary absence. They function as transitional spaces between custody and full community reintegration.</w:t>
      </w:r>
    </w:p>
    <w:p w14:paraId="2423DA15" w14:textId="77777777" w:rsidR="00C055FB" w:rsidRPr="00C055FB" w:rsidRDefault="00C055FB" w:rsidP="00C055FB">
      <w:pPr>
        <w:rPr>
          <w:rFonts w:eastAsia="Calibri"/>
          <w:lang w:val="en-CA" w:eastAsia="en-CA"/>
        </w:rPr>
      </w:pPr>
    </w:p>
    <w:p w14:paraId="0E721599" w14:textId="77777777" w:rsidR="00C055FB" w:rsidRPr="00C055FB" w:rsidRDefault="00C055FB" w:rsidP="00511B38">
      <w:pPr>
        <w:pStyle w:val="H2"/>
        <w:rPr>
          <w:rFonts w:eastAsia="Calibri"/>
          <w:lang w:val="en-CA" w:eastAsia="en-CA"/>
        </w:rPr>
      </w:pPr>
      <w:r w:rsidRPr="00C055FB">
        <w:rPr>
          <w:rFonts w:eastAsia="Calibri"/>
          <w:lang w:val="en-CA" w:eastAsia="en-CA"/>
        </w:rPr>
        <w:t>Indigenous Community Corrections and Healing Lodges</w:t>
      </w:r>
    </w:p>
    <w:p w14:paraId="49B34A60" w14:textId="77777777" w:rsidR="00C055FB" w:rsidRPr="00C055FB" w:rsidRDefault="00C055FB" w:rsidP="00C055FB">
      <w:pPr>
        <w:rPr>
          <w:rFonts w:eastAsia="Calibri"/>
          <w:lang w:val="en-CA" w:eastAsia="en-CA"/>
        </w:rPr>
      </w:pPr>
      <w:r w:rsidRPr="00C055FB">
        <w:rPr>
          <w:rFonts w:eastAsia="Calibri"/>
          <w:lang w:val="en-CA" w:eastAsia="en-CA"/>
        </w:rPr>
        <w:t xml:space="preserve">The Canadian correctional system integrates Indigenous-led community justice mechanisms through sections 81 and 84 of the </w:t>
      </w:r>
      <w:r w:rsidRPr="007854DD">
        <w:rPr>
          <w:rFonts w:eastAsia="Calibri"/>
          <w:i/>
          <w:iCs/>
          <w:lang w:val="en-CA" w:eastAsia="en-CA"/>
        </w:rPr>
        <w:t>Corrections and Conditional Release Act</w:t>
      </w:r>
      <w:r w:rsidRPr="00C055FB">
        <w:rPr>
          <w:rFonts w:eastAsia="Calibri"/>
          <w:lang w:val="en-CA" w:eastAsia="en-CA"/>
        </w:rPr>
        <w:t>. These frameworks enable Indigenous communities to manage supervision and reintegration of offenders or to participate in release planning. Healing lodges and community reintegration programs emphasize cultural connection, spirituality, and community accountability as cornerstones of rehabilitation.</w:t>
      </w:r>
    </w:p>
    <w:p w14:paraId="7E391CC3" w14:textId="77777777" w:rsidR="00C055FB" w:rsidRPr="00C055FB" w:rsidRDefault="00C055FB" w:rsidP="00C055FB">
      <w:pPr>
        <w:rPr>
          <w:rFonts w:eastAsia="Calibri"/>
          <w:lang w:val="en-CA" w:eastAsia="en-CA"/>
        </w:rPr>
      </w:pPr>
    </w:p>
    <w:p w14:paraId="70116783" w14:textId="77777777" w:rsidR="00C055FB" w:rsidRPr="00C055FB" w:rsidRDefault="00C055FB" w:rsidP="00511B38">
      <w:pPr>
        <w:pStyle w:val="H2"/>
        <w:rPr>
          <w:rFonts w:eastAsia="Calibri"/>
          <w:lang w:val="en-CA" w:eastAsia="en-CA"/>
        </w:rPr>
      </w:pPr>
      <w:r w:rsidRPr="00C055FB">
        <w:rPr>
          <w:rFonts w:eastAsia="Calibri"/>
          <w:lang w:val="en-CA" w:eastAsia="en-CA"/>
        </w:rPr>
        <w:t>Community-Based Reintegration and Support Programs</w:t>
      </w:r>
    </w:p>
    <w:p w14:paraId="72E612EF" w14:textId="36C8DCB0" w:rsidR="007A1FE4" w:rsidRDefault="00C055FB" w:rsidP="00C055FB">
      <w:pPr>
        <w:rPr>
          <w:rFonts w:eastAsia="Calibri"/>
          <w:lang w:val="en-CA" w:eastAsia="en-CA"/>
        </w:rPr>
      </w:pPr>
      <w:r w:rsidRPr="00C055FB">
        <w:rPr>
          <w:rFonts w:eastAsia="Calibri"/>
          <w:lang w:val="en-CA" w:eastAsia="en-CA"/>
        </w:rPr>
        <w:t>Beyond formal supervision orders, community reintegration supports play a vital role in sustaining public safety and rehabilitation. These include employment readiness programs, substance abuse treatment, housing assistance, and psychological counseling</w:t>
      </w:r>
      <w:r w:rsidR="00F60AC3">
        <w:rPr>
          <w:rFonts w:eastAsia="Calibri"/>
          <w:lang w:val="en-CA" w:eastAsia="en-CA"/>
        </w:rPr>
        <w:t xml:space="preserve">, which are </w:t>
      </w:r>
      <w:r w:rsidRPr="00C055FB">
        <w:rPr>
          <w:rFonts w:eastAsia="Calibri"/>
          <w:lang w:val="en-CA" w:eastAsia="en-CA"/>
        </w:rPr>
        <w:t xml:space="preserve">often delivered through local community agencies or federal reintegration funding streams. Such </w:t>
      </w:r>
      <w:r w:rsidRPr="00C055FB">
        <w:rPr>
          <w:rFonts w:eastAsia="Calibri"/>
          <w:lang w:val="en-CA" w:eastAsia="en-CA"/>
        </w:rPr>
        <w:lastRenderedPageBreak/>
        <w:t>services extend the scope of community corrections beyond compliance monitoring to encompass social reintegration and recidivism prevention.</w:t>
      </w:r>
    </w:p>
    <w:p w14:paraId="6945B8EA" w14:textId="77777777" w:rsidR="00C055FB" w:rsidRDefault="00C055FB" w:rsidP="00131409">
      <w:pPr>
        <w:rPr>
          <w:rFonts w:eastAsia="Calibri"/>
          <w:lang w:val="en-CA" w:eastAsia="en-CA"/>
        </w:rPr>
      </w:pPr>
    </w:p>
    <w:p w14:paraId="01E3C521" w14:textId="77777777" w:rsidR="00C055FB" w:rsidRDefault="00C055FB" w:rsidP="00131409">
      <w:pPr>
        <w:rPr>
          <w:rFonts w:eastAsia="Calibri"/>
          <w:lang w:val="en-CA" w:eastAsia="en-CA"/>
        </w:rPr>
      </w:pPr>
    </w:p>
    <w:p w14:paraId="2BA023B0" w14:textId="77777777" w:rsidR="00C055FB" w:rsidRDefault="00C055FB" w:rsidP="00131409"/>
    <w:p w14:paraId="1AF021F3" w14:textId="586D3644" w:rsidR="00896900" w:rsidRDefault="007A1FE4" w:rsidP="00896900">
      <w:r>
        <w:t xml:space="preserve"> </w:t>
      </w:r>
    </w:p>
    <w:p w14:paraId="110111B1" w14:textId="77777777" w:rsidR="005E03FF" w:rsidRPr="00352E82" w:rsidRDefault="005E03FF" w:rsidP="005E03FF">
      <w:pPr>
        <w:pStyle w:val="H1"/>
      </w:pPr>
      <w:r w:rsidRPr="00352E82">
        <w:t>SPECIAL CONSIDERATIONS: INDIGENOUS OVERREPRESENTATION</w:t>
      </w:r>
    </w:p>
    <w:p w14:paraId="4ED1B804" w14:textId="77777777" w:rsidR="00247FB0" w:rsidRDefault="00247FB0" w:rsidP="005E03FF"/>
    <w:p w14:paraId="6929D2B1" w14:textId="20018903" w:rsidR="004A580B" w:rsidRDefault="005E03FF" w:rsidP="005E03FF">
      <w:r w:rsidRPr="005E03FF">
        <w:t xml:space="preserve">The profound representation of Indigenous </w:t>
      </w:r>
      <w:r w:rsidR="00F60AC3">
        <w:t>individuals</w:t>
      </w:r>
      <w:r w:rsidRPr="005E03FF">
        <w:t xml:space="preserve"> in Canada's correctional systems</w:t>
      </w:r>
      <w:r w:rsidR="00F60AC3">
        <w:t xml:space="preserve">, </w:t>
      </w:r>
      <w:r w:rsidRPr="005E03FF">
        <w:t>including community supervision</w:t>
      </w:r>
      <w:r w:rsidR="00F60AC3">
        <w:t xml:space="preserve">, </w:t>
      </w:r>
      <w:r w:rsidRPr="005E03FF">
        <w:t xml:space="preserve">reflects ongoing legacies of colonization, intergenerational trauma, and systemic racism </w:t>
      </w:r>
      <w:r w:rsidRPr="005E03FF">
        <w:fldChar w:fldCharType="begin"/>
      </w:r>
      <w:r w:rsidR="00F4243E">
        <w:instrText xml:space="preserve"> ADDIN ZOTERO_ITEM CSL_CITATION {"citationID":"bHRiH871","properties":{"formattedCitation":"(Malakieh, 2020)","plainCitation":"(Malakieh, 2020)","noteIndex":0},"citationItems":[{"id":13011,"uris":["http://zotero.org/users/17128492/items/WWPXDI7E"],"itemData":{"id":13011,"type":"report","collection-title":"Juristat","event-place":"Ottawa","note":"Citation Key: Malakieh2020","page":"1-23","publisher":"Statistics Canada","publisher-place":"Ottawa","source":"Canadian Centre for Justice and Community Safety Statistics","title":"Adult and youth correctional statistics in Canada, 2018/2019","URL":"https://www150.statcan.gc.ca/n1/pub/85-002-x/2020001/article/00016-eng.htm","author":[{"family":"Malakieh","given":"Jamil"}],"issued":{"date-parts":[["2020"]]},"citation-key":"Malakieh2020"}}],"schema":"https://github.com/citation-style-language/schema/raw/master/csl-citation.json"} </w:instrText>
      </w:r>
      <w:r w:rsidRPr="005E03FF">
        <w:fldChar w:fldCharType="separate"/>
      </w:r>
      <w:r w:rsidR="00F4243E" w:rsidRPr="00F4243E">
        <w:t>(Malakieh, 2020)</w:t>
      </w:r>
      <w:r w:rsidRPr="005E03FF">
        <w:fldChar w:fldCharType="end"/>
      </w:r>
      <w:r w:rsidRPr="005E03FF">
        <w:t xml:space="preserve">. </w:t>
      </w:r>
      <w:r w:rsidR="00F60AC3">
        <w:t xml:space="preserve">Indigenous individuals are incarcerated at a rate that much high then their portion of the Canadian population, leading the use of the term “overrepresented” in systems of justice. </w:t>
      </w:r>
      <w:r w:rsidRPr="005E03FF">
        <w:t xml:space="preserve">Indigenous </w:t>
      </w:r>
      <w:r w:rsidR="00F60AC3">
        <w:t xml:space="preserve">individuals </w:t>
      </w:r>
      <w:r w:rsidRPr="005E03FF">
        <w:t>remain significantly overrepresented in Canada’s criminal justice system as both victims and accused</w:t>
      </w:r>
      <w:r w:rsidR="00F60AC3">
        <w:t>/perpetrators</w:t>
      </w:r>
      <w:r w:rsidRPr="005E03FF">
        <w:t xml:space="preserve">. They are more likely to be found guilty, receive custodial or conditional sentences, and less likely to receive probation or fines compared to </w:t>
      </w:r>
      <w:r w:rsidR="00F60AC3">
        <w:t>w</w:t>
      </w:r>
      <w:r w:rsidRPr="005E03FF">
        <w:t>hite defendants. In 2022–23, Indigenous adults accounted for about 30% of admissions to provincial and territorial correction</w:t>
      </w:r>
      <w:r w:rsidR="00F60AC3">
        <w:t>al service</w:t>
      </w:r>
      <w:r w:rsidRPr="005E03FF">
        <w:t xml:space="preserve">s despite comprising only 4% of the adult population, with the imbalance especially severe for Indigenous women, who made up 42% of female custody admissions </w:t>
      </w:r>
      <w:r w:rsidRPr="005E03FF">
        <w:fldChar w:fldCharType="begin"/>
      </w:r>
      <w:r w:rsidR="00F4243E">
        <w:instrText xml:space="preserve"> ADDIN ZOTERO_ITEM CSL_CITATION {"citationID":"IxBhA0YL","properties":{"formattedCitation":"(Department of Justice Canada, 2024)","plainCitation":"(Department of Justice Canada, 2024)","noteIndex":0},"citationItems":[{"id":30880,"uris":["http://zotero.org/users/17128492/items/BVPZ7BCJ"],"itemData":{"id":30880,"type":"report","collection-title":"Just Facts","note":"Citation Key: zotero-item-30880","page":"1-6","publisher":"Research and Statistics Division","title":"The Overrepresentation of Indigenous People in the Criminal Justice System","URL":"https://www.justice.gc.ca/eng/rp-pr/jr/jf-pf/2024/pdf/rsd_jf2024_indigenous-overrepresentation_eng.pdf","author":[{"literal":"Department of Justice Canada"}],"accessed":{"date-parts":[["2025",11,12]]},"issued":{"date-parts":[["2024",11]]},"citation-key":"zotero-item-30880"}}],"schema":"https://github.com/citation-style-language/schema/raw/master/csl-citation.json"} </w:instrText>
      </w:r>
      <w:r w:rsidRPr="005E03FF">
        <w:fldChar w:fldCharType="separate"/>
      </w:r>
      <w:r w:rsidR="00F4243E" w:rsidRPr="00F4243E">
        <w:t>(Department of Justice Canada, 2024)</w:t>
      </w:r>
      <w:r w:rsidRPr="005E03FF">
        <w:fldChar w:fldCharType="end"/>
      </w:r>
      <w:r w:rsidRPr="005E03FF">
        <w:t xml:space="preserve">. Section 718.2(e) of the </w:t>
      </w:r>
      <w:r w:rsidRPr="005E03FF">
        <w:rPr>
          <w:i/>
        </w:rPr>
        <w:t>Criminal Code</w:t>
      </w:r>
      <w:r w:rsidRPr="005E03FF">
        <w:t xml:space="preserve">, following the Supreme Court's decision in </w:t>
      </w:r>
      <w:r w:rsidRPr="005E03FF">
        <w:rPr>
          <w:i/>
        </w:rPr>
        <w:t>R. v. Gladue</w:t>
      </w:r>
      <w:r w:rsidRPr="005E03FF">
        <w:t xml:space="preserve">, directs sentencing judges to pay "particular attention to the circumstances of Aboriginal offenders" and consider "all available sanctions, other than imprisonment, that are reasonable in the circumstances" </w:t>
      </w:r>
      <w:r w:rsidRPr="005E03FF">
        <w:fldChar w:fldCharType="begin"/>
      </w:r>
      <w:r w:rsidR="00F4243E">
        <w:instrText xml:space="preserve"> ADDIN ZOTERO_ITEM CSL_CITATION {"citationID":"AAhcZGW8","properties":{"formattedCitation":"(Criminal Code, 2025; {\\i{}R. v. Gladue}, 1999)","plainCitation":"(Criminal Code, 2025; R. v. Gladue, 1999)","noteIndex":0},"citationItems":[{"id":30894,"uris":["http://zotero.org/users/17128492/items/Q47XYUCI"],"itemData":{"id":30894,"type":"legislation","abstract":"Federal laws of Canada","language":"eng","note":"Last Modified: 2025-10-10\nCitation Key: Branch2025","number":"R.S.C., 1985, c. C-46","section":"a-e","title":"Criminal Code","URL":"https://laws-lois.justice.gc.ca/eng/acts/C-46/section-718.2.html","volume":"718.2","author":[{"literal":"Government of Canada"}],"accessed":{"date-parts":[["2025",11,13]]},"issued":{"date-parts":[["2025",10,10]]},"citation-key":"Branch2025"}},{"id":30896,"uris":["http://zotero.org/users/17128492/items/J7DE7G3L"],"itemData":{"id":30896,"type":"legal_case","authority":"Supreme Court of Canada","language":"English","note":"Citation Key: SupremeCourtOfCanada1999","number":"26300","page":"688","title":"R. v. Gladue","URL":"https://decisions.scc-csc.ca/scc-csc/scc-csc/en/item/1695/index.do","author":[{"literal":"Supreme Court of Canada"},{"literal":"Lamer, Antonio"},{"family":"L'Heureux-Dubé","given":"Claire"},{"literal":"Gonthier, Charles Doherty"},{"family":"Cory","given":"Peter","dropping-particle":"deCarteret"},{"family":"Lacobucci","given":"Frank"},{"family":"Bastarache","given":"Michel"},{"literal":"William Ian Corneil, Binnie"}],"accessed":{"date-parts":[["2025",11,13]]},"issued":{"date-parts":[["1999",4,23]]},"citation-key":"SupremeCourtOfCanada1999"}}],"schema":"https://github.com/citation-style-language/schema/raw/master/csl-citation.json"} </w:instrText>
      </w:r>
      <w:r w:rsidRPr="005E03FF">
        <w:fldChar w:fldCharType="separate"/>
      </w:r>
      <w:r w:rsidR="00F4243E" w:rsidRPr="00F4243E">
        <w:t xml:space="preserve">(Criminal Code, 2025; </w:t>
      </w:r>
      <w:r w:rsidR="00F4243E" w:rsidRPr="00F4243E">
        <w:rPr>
          <w:i/>
          <w:iCs/>
        </w:rPr>
        <w:t>R. v. Gladue</w:t>
      </w:r>
      <w:r w:rsidR="00F4243E" w:rsidRPr="00F4243E">
        <w:t>, 1999)</w:t>
      </w:r>
      <w:r w:rsidRPr="005E03FF">
        <w:fldChar w:fldCharType="end"/>
      </w:r>
      <w:r w:rsidRPr="005E03FF">
        <w:t>.</w:t>
      </w:r>
      <w:r w:rsidR="00F60AC3">
        <w:t xml:space="preserve"> Gladue, sadly, lack consistent use and comprehensive, effective implementation in many jurisdictions.</w:t>
      </w:r>
      <w:r w:rsidR="004A580B">
        <w:t xml:space="preserve"> </w:t>
      </w:r>
      <w:r w:rsidRPr="005E03FF">
        <w:t xml:space="preserve">Despite 25 years since </w:t>
      </w:r>
      <w:r w:rsidRPr="005E03FF">
        <w:rPr>
          <w:i/>
        </w:rPr>
        <w:t>Gladue</w:t>
      </w:r>
      <w:r w:rsidRPr="005E03FF">
        <w:t xml:space="preserve">, Indigenous overrepresentation persists and in some respects has worsened </w:t>
      </w:r>
      <w:r w:rsidRPr="005E03FF">
        <w:fldChar w:fldCharType="begin"/>
      </w:r>
      <w:r w:rsidR="00F4243E">
        <w:instrText xml:space="preserve"> ADDIN ZOTERO_ITEM CSL_CITATION {"citationID":"qP2kl0Y9","properties":{"formattedCitation":"(Department of Justice Canada, 2024; Office of the Correctional Investigator, 2012)","plainCitation":"(Department of Justice Canada, 2024; Office of the Correctional Investigator, 2012)","noteIndex":0},"citationItems":[{"id":30880,"uris":["http://zotero.org/users/17128492/items/BVPZ7BCJ"],"itemData":{"id":30880,"type":"report","collection-title":"Just Facts","note":"Citation Key: zotero-item-30880","page":"1-6","publisher":"Research and Statistics Division","title":"The Overrepresentation of Indigenous People in the Criminal Justice System","URL":"https://www.justice.gc.ca/eng/rp-pr/jr/jf-pf/2024/pdf/rsd_jf2024_indigenous-overrepresentation_eng.pdf","author":[{"literal":"Department of Justice Canada"}],"accessed":{"date-parts":[["2025",11,12]]},"issued":{"date-parts":[["2024",11]]},"citation-key":"zotero-item-30880"}},{"id":27319,"uris":["http://zotero.org/users/17128492/items/7UEYKW72"],"itemData":{"id":27319,"type":"document","note":"Citation Key: OfficeOfTheCorrectionalInvestigator2012","publisher":"Government of Canada","title":"Spirit Matters: Aboriginal People and the Corrections and Conditional Release Act","author":[{"family":"Office of the Correctional Investigator","given":""}],"issued":{"date-parts":[["2012"]]},"citation-key":"OfficeOfTheCorrectionalInvestigator2012"}}],"schema":"https://github.com/citation-style-language/schema/raw/master/csl-citation.json"} </w:instrText>
      </w:r>
      <w:r w:rsidRPr="005E03FF">
        <w:fldChar w:fldCharType="separate"/>
      </w:r>
      <w:r w:rsidR="00F4243E" w:rsidRPr="00F4243E">
        <w:t>(Department of Justice Canada, 2024; Office of the Correctional Investigator, 2012)</w:t>
      </w:r>
      <w:r w:rsidRPr="005E03FF">
        <w:fldChar w:fldCharType="end"/>
      </w:r>
      <w:r w:rsidRPr="005E03FF">
        <w:t xml:space="preserve">. </w:t>
      </w:r>
    </w:p>
    <w:p w14:paraId="374BADD9" w14:textId="77777777" w:rsidR="004A580B" w:rsidRDefault="004A580B" w:rsidP="005E03FF"/>
    <w:p w14:paraId="1F5D39C8" w14:textId="232AAD6B" w:rsidR="005E03FF" w:rsidRPr="005E03FF" w:rsidRDefault="005E03FF" w:rsidP="005E03FF">
      <w:r w:rsidRPr="005E03FF">
        <w:t xml:space="preserve">Indigenous adults made up roughly a third of all admissions to provincial, territorial, and federal custody in 2020, despite representing only about 5% of the country’s adult population </w:t>
      </w:r>
      <w:r w:rsidRPr="005E03FF">
        <w:fldChar w:fldCharType="begin"/>
      </w:r>
      <w:r w:rsidR="00F4243E">
        <w:instrText xml:space="preserve"> ADDIN ZOTERO_ITEM CSL_CITATION {"citationID":"ZsNphWbD","properties":{"formattedCitation":"(Statistics Canada, 2022, p. 4)","plainCitation":"(Statistics Canada, 2022, p. 4)","noteIndex":0},"citationItems":[{"id":28016,"uris":["http://zotero.org/users/17128492/items/8UAFQNDS","http://zotero.org/users/17128492/items/KD4M6N6T"],"itemData":{"id":28016,"type":"report","collection-title":"The Daily","genre":"Component of catalogue no. 11-001-X","language":"en","note":"Citation Key: StatisticsCanada2022b","page":"1-6","title":"Adult and youth correctional statistics, 2020/2021","URL":"https://www150.statcan.gc.ca/n1/daily-quotidien/220420/dq220420c-eng.htm","author":[{"literal":"Statistics Canada"}],"accessed":{"date-parts":[["2025",11,13]]},"issued":{"date-parts":[["2022",4,20]]},"citation-key":"StatisticsCanada2022b"},"locator":"4","label":"page"}],"schema":"https://github.com/citation-style-language/schema/raw/master/csl-citation.json"} </w:instrText>
      </w:r>
      <w:r w:rsidRPr="005E03FF">
        <w:fldChar w:fldCharType="separate"/>
      </w:r>
      <w:r w:rsidR="00F4243E" w:rsidRPr="00F4243E">
        <w:t>(Statistics Canada, 2022, p. 4)</w:t>
      </w:r>
      <w:r w:rsidRPr="005E03FF">
        <w:fldChar w:fldCharType="end"/>
      </w:r>
      <w:r w:rsidRPr="005E03FF">
        <w:t xml:space="preserve">. In 2021/2022, Indigenous people in federal custody were granted day parole and full parole less often—72% and 21%—than non-Indigenous people, who received them at 77% and 33% (Department of Justice Canada, 2024). That disparity has held steady for a decade. Because of this, Indigenous offenders were pushed more frequently into statutory release, at 76% compared to 57% for non-Indigenous offenders. This meant they ended up serving a larger share of their sentences before first release on day or full parole—42% and 48% of their terms, versus 37% and 45% for non-Indigenous offenders </w:t>
      </w:r>
      <w:r w:rsidRPr="005E03FF">
        <w:fldChar w:fldCharType="begin"/>
      </w:r>
      <w:r w:rsidR="00F4243E">
        <w:instrText xml:space="preserve"> ADDIN ZOTERO_ITEM CSL_CITATION {"citationID":"dpoZGE88","properties":{"formattedCitation":"(Department of Justice Canada, 2024, p. 6)","plainCitation":"(Department of Justice Canada, 2024, p. 6)","noteIndex":0},"citationItems":[{"id":30880,"uris":["http://zotero.org/users/17128492/items/BVPZ7BCJ"],"itemData":{"id":30880,"type":"report","collection-title":"Just Facts","note":"Citation Key: zotero-item-30880","page":"1-6","publisher":"Research and Statistics Division","title":"The Overrepresentation of Indigenous People in the Criminal Justice System","URL":"https://www.justice.gc.ca/eng/rp-pr/jr/jf-pf/2024/pdf/rsd_jf2024_indigenous-overrepresentation_eng.pdf","author":[{"literal":"Department of Justice Canada"}],"accessed":{"date-parts":[["2025",11,12]]},"issued":{"date-parts":[["2024",11]]},"citation-key":"zotero-item-30880"},"locator":"6","label":"page"}],"schema":"https://github.com/citation-style-language/schema/raw/master/csl-citation.json"} </w:instrText>
      </w:r>
      <w:r w:rsidRPr="005E03FF">
        <w:fldChar w:fldCharType="separate"/>
      </w:r>
      <w:r w:rsidR="00F4243E" w:rsidRPr="00F4243E">
        <w:t>(Department of Justice Canada, 2024, p. 6)</w:t>
      </w:r>
      <w:r w:rsidRPr="005E03FF">
        <w:fldChar w:fldCharType="end"/>
      </w:r>
      <w:r w:rsidRPr="005E03FF">
        <w:t xml:space="preserve">. </w:t>
      </w:r>
      <w:r w:rsidR="00F60AC3">
        <w:t xml:space="preserve">Further, once sentenced federally, Indigenous offenders are often dislocated from their homes and loved ones, as there are no federal facilities in the North, specifically in the territories or the provinces of Newfoundland and Labrador and Prince Edward Island. In consequence, these individuals are serving sentences and often conditionally released far from their communities and supports. Overall, </w:t>
      </w:r>
      <w:r w:rsidRPr="005E03FF">
        <w:t xml:space="preserve">disparities complicate the evidence known about reintegration and the supports available for a disproportionate number of Indigenous Canadians who continue to be incarcerated at rates far out of proportion to their population which is a pattern rooted in the long-term social and historical harms of colonization. </w:t>
      </w:r>
    </w:p>
    <w:p w14:paraId="027F7F31" w14:textId="77777777" w:rsidR="005E03FF" w:rsidRDefault="005E03FF" w:rsidP="00896900"/>
    <w:p w14:paraId="29EBE808" w14:textId="6415166E" w:rsidR="00823FE3" w:rsidRDefault="00823FE3" w:rsidP="00D64676">
      <w:pPr>
        <w:spacing w:after="200" w:line="312" w:lineRule="auto"/>
      </w:pPr>
      <w:r>
        <w:br w:type="page"/>
      </w:r>
    </w:p>
    <w:p w14:paraId="334ABA73" w14:textId="06503C3C" w:rsidR="00FA2671" w:rsidRDefault="00FA2671" w:rsidP="00FA2671">
      <w:pPr>
        <w:pStyle w:val="Subtitle"/>
        <w:contextualSpacing/>
        <w:rPr>
          <w:b w:val="0"/>
          <w:color w:val="000000" w:themeColor="text1"/>
          <w:sz w:val="10"/>
          <w:szCs w:val="10"/>
        </w:rPr>
      </w:pPr>
    </w:p>
    <w:p w14:paraId="54DFA19F" w14:textId="77777777" w:rsidR="00FA2671" w:rsidRDefault="00FA2671" w:rsidP="00FA2671">
      <w:pPr>
        <w:pStyle w:val="Subtitle"/>
        <w:contextualSpacing/>
        <w:rPr>
          <w:b w:val="0"/>
          <w:color w:val="000000" w:themeColor="text1"/>
          <w:sz w:val="10"/>
          <w:szCs w:val="10"/>
        </w:rPr>
      </w:pPr>
    </w:p>
    <w:p w14:paraId="2248346B" w14:textId="68120096" w:rsidR="00767695" w:rsidRDefault="00D41EA4" w:rsidP="00EC7A16">
      <w:pPr>
        <w:pStyle w:val="H1"/>
      </w:pPr>
      <w:r>
        <w:t>REFERENCE</w:t>
      </w:r>
      <w:r w:rsidR="00FA2671">
        <w:t>S</w:t>
      </w:r>
    </w:p>
    <w:p w14:paraId="15AD6AF6" w14:textId="38ED2B7F" w:rsidR="00B93C2A" w:rsidRDefault="00B93C2A" w:rsidP="00B93C2A"/>
    <w:p w14:paraId="5F7533EE" w14:textId="77777777" w:rsidR="001335C8" w:rsidRPr="001335C8" w:rsidRDefault="007603A0" w:rsidP="001335C8">
      <w:pPr>
        <w:pStyle w:val="Bibliography"/>
      </w:pPr>
      <w:r>
        <w:rPr>
          <w:lang w:val="en-GB"/>
        </w:rPr>
        <w:fldChar w:fldCharType="begin"/>
      </w:r>
      <w:r w:rsidR="001335C8">
        <w:rPr>
          <w:lang w:val="en-GB"/>
        </w:rPr>
        <w:instrText xml:space="preserve"> ADDIN ZOTERO_BIBL {"uncited":[],"omitted":[],"custom":[]} CSL_BIBLIOGRAPHY </w:instrText>
      </w:r>
      <w:r>
        <w:rPr>
          <w:lang w:val="en-GB"/>
        </w:rPr>
        <w:fldChar w:fldCharType="separate"/>
      </w:r>
      <w:r w:rsidR="001335C8" w:rsidRPr="001335C8">
        <w:t xml:space="preserve">Auditor General of Canada. (2022). </w:t>
      </w:r>
      <w:r w:rsidR="001335C8" w:rsidRPr="001335C8">
        <w:rPr>
          <w:i/>
          <w:iCs/>
        </w:rPr>
        <w:t>Systemic barriers - Correctional Service Canada: Independent auditor’s report</w:t>
      </w:r>
      <w:r w:rsidR="001335C8" w:rsidRPr="001335C8">
        <w:t xml:space="preserve"> (pp. 1–36). Office of the Auditor General of Canada.</w:t>
      </w:r>
    </w:p>
    <w:p w14:paraId="2E56200E" w14:textId="77777777" w:rsidR="001335C8" w:rsidRPr="001335C8" w:rsidRDefault="001335C8" w:rsidP="001335C8">
      <w:pPr>
        <w:pStyle w:val="Bibliography"/>
      </w:pPr>
      <w:r w:rsidRPr="001335C8">
        <w:t xml:space="preserve">Bourgon, G. (2024). Community Corrections in Canada. In I. Durnescu, J. M. Byrne, B. J. Mackey, &amp; F. S. Taxman, </w:t>
      </w:r>
      <w:r w:rsidRPr="001335C8">
        <w:rPr>
          <w:i/>
          <w:iCs/>
        </w:rPr>
        <w:t>The Routledge Handbook on Global Community Corrections</w:t>
      </w:r>
      <w:r w:rsidRPr="001335C8">
        <w:t xml:space="preserve"> (1st ed., Vols. 1–15, pp. 315–329). Routledge. https://doi.org/10.4324/9781003305149-22</w:t>
      </w:r>
    </w:p>
    <w:p w14:paraId="391896D2" w14:textId="77777777" w:rsidR="001335C8" w:rsidRPr="001335C8" w:rsidRDefault="001335C8" w:rsidP="001335C8">
      <w:pPr>
        <w:pStyle w:val="Bibliography"/>
      </w:pPr>
      <w:r w:rsidRPr="001335C8">
        <w:t>Criminal Code, Pub. L. No. R.S.C., 1985, c. C–46, 718.2 (2025). https://laws-lois.justice.gc.ca/eng/acts/C-46/section-718.2.html</w:t>
      </w:r>
    </w:p>
    <w:p w14:paraId="7F5ED90A" w14:textId="77777777" w:rsidR="001335C8" w:rsidRPr="007854DD" w:rsidRDefault="001335C8" w:rsidP="001335C8">
      <w:pPr>
        <w:pStyle w:val="Bibliography"/>
        <w:rPr>
          <w:lang w:val="da-DK"/>
        </w:rPr>
      </w:pPr>
      <w:r w:rsidRPr="001335C8">
        <w:t xml:space="preserve">Department of Justice. (2019). </w:t>
      </w:r>
      <w:r w:rsidRPr="001335C8">
        <w:rPr>
          <w:i/>
          <w:iCs/>
        </w:rPr>
        <w:t>On the Review of Canada’s Criminal Justice System</w:t>
      </w:r>
      <w:r w:rsidRPr="001335C8">
        <w:t xml:space="preserve"> (Nos. </w:t>
      </w:r>
      <w:r w:rsidRPr="007854DD">
        <w:rPr>
          <w:lang w:val="da-DK"/>
        </w:rPr>
        <w:t>J4-94/2019E-PDF). https://publications.gc.ca/site/eng/9.875820/publication.html</w:t>
      </w:r>
    </w:p>
    <w:p w14:paraId="74B96444" w14:textId="77777777" w:rsidR="001335C8" w:rsidRPr="001335C8" w:rsidRDefault="001335C8" w:rsidP="001335C8">
      <w:pPr>
        <w:pStyle w:val="Bibliography"/>
      </w:pPr>
      <w:r w:rsidRPr="001335C8">
        <w:t xml:space="preserve">Department of Justice Canada. (2024). </w:t>
      </w:r>
      <w:r w:rsidRPr="001335C8">
        <w:rPr>
          <w:i/>
          <w:iCs/>
        </w:rPr>
        <w:t>The Overrepresentation of Indigenous People in the Criminal Justice System</w:t>
      </w:r>
      <w:r w:rsidRPr="001335C8">
        <w:t xml:space="preserve"> (Just Facts, pp. 1–6). Research and Statistics Division. https://www.justice.gc.ca/eng/rp-pr/jr/jf-pf/2024/pdf/rsd_jf2024_indigenous-overrepresentation_eng.pdf</w:t>
      </w:r>
    </w:p>
    <w:p w14:paraId="07488CDA" w14:textId="77777777" w:rsidR="001335C8" w:rsidRPr="007854DD" w:rsidRDefault="001335C8" w:rsidP="001335C8">
      <w:pPr>
        <w:pStyle w:val="Bibliography"/>
        <w:rPr>
          <w:lang w:val="fr-CA"/>
        </w:rPr>
      </w:pPr>
      <w:r w:rsidRPr="001335C8">
        <w:t xml:space="preserve">Hagan, J., &amp; Leon, J. (1980). The Rehabilitation of Law: A Social-Historical Comparison of Probation in Canada and the United States. </w:t>
      </w:r>
      <w:r w:rsidRPr="007854DD">
        <w:rPr>
          <w:i/>
          <w:iCs/>
          <w:lang w:val="fr-CA"/>
        </w:rPr>
        <w:t>Canadian Journal of Sociology / Cahiers Canadiens de Sociologie</w:t>
      </w:r>
      <w:r w:rsidRPr="007854DD">
        <w:rPr>
          <w:lang w:val="fr-CA"/>
        </w:rPr>
        <w:t xml:space="preserve">, </w:t>
      </w:r>
      <w:r w:rsidRPr="007854DD">
        <w:rPr>
          <w:i/>
          <w:iCs/>
          <w:lang w:val="fr-CA"/>
        </w:rPr>
        <w:t>5</w:t>
      </w:r>
      <w:r w:rsidRPr="007854DD">
        <w:rPr>
          <w:lang w:val="fr-CA"/>
        </w:rPr>
        <w:t>(3), Article 3. https://doi.org/10.2307/3340176</w:t>
      </w:r>
    </w:p>
    <w:p w14:paraId="05503C53" w14:textId="77777777" w:rsidR="001335C8" w:rsidRPr="001335C8" w:rsidRDefault="001335C8" w:rsidP="001335C8">
      <w:pPr>
        <w:pStyle w:val="Bibliography"/>
      </w:pPr>
      <w:r w:rsidRPr="001335C8">
        <w:t xml:space="preserve">Malakieh, J. (2019). </w:t>
      </w:r>
      <w:r w:rsidRPr="001335C8">
        <w:rPr>
          <w:i/>
          <w:iCs/>
        </w:rPr>
        <w:t>Adult and youth correctional statistics in Canada, 2017/2018</w:t>
      </w:r>
      <w:r w:rsidRPr="001335C8">
        <w:t xml:space="preserve"> (Juristat, pp. 1–26). Statistics Canada.</w:t>
      </w:r>
    </w:p>
    <w:p w14:paraId="7226E74F" w14:textId="77777777" w:rsidR="001335C8" w:rsidRPr="001335C8" w:rsidRDefault="001335C8" w:rsidP="001335C8">
      <w:pPr>
        <w:pStyle w:val="Bibliography"/>
      </w:pPr>
      <w:r w:rsidRPr="001335C8">
        <w:lastRenderedPageBreak/>
        <w:t xml:space="preserve">Malakieh, J. (2020). </w:t>
      </w:r>
      <w:r w:rsidRPr="001335C8">
        <w:rPr>
          <w:i/>
          <w:iCs/>
        </w:rPr>
        <w:t>Adult and youth correctional statistics in Canada, 2018/2019</w:t>
      </w:r>
      <w:r w:rsidRPr="001335C8">
        <w:t xml:space="preserve"> (Juristat, pp. 1–23). Statistics Canada. https://www150.statcan.gc.ca/n1/pub/85-002-x/2020001/article/00016-eng.htm</w:t>
      </w:r>
    </w:p>
    <w:p w14:paraId="5984B384" w14:textId="77777777" w:rsidR="001335C8" w:rsidRPr="001335C8" w:rsidRDefault="001335C8" w:rsidP="001335C8">
      <w:pPr>
        <w:pStyle w:val="Bibliography"/>
      </w:pPr>
      <w:r w:rsidRPr="001335C8">
        <w:t xml:space="preserve">McDonald, D. (2015). Electronic Monitoring in Canada: Federal and Provincial/Territorial Law and Practice. </w:t>
      </w:r>
      <w:r w:rsidRPr="001335C8">
        <w:rPr>
          <w:i/>
          <w:iCs/>
        </w:rPr>
        <w:t>The Journal of Offender Monitoring</w:t>
      </w:r>
      <w:r w:rsidRPr="001335C8">
        <w:t>, 13–27.</w:t>
      </w:r>
    </w:p>
    <w:p w14:paraId="52E7A57F" w14:textId="77777777" w:rsidR="001335C8" w:rsidRPr="001335C8" w:rsidRDefault="001335C8" w:rsidP="001335C8">
      <w:pPr>
        <w:pStyle w:val="Bibliography"/>
      </w:pPr>
      <w:r w:rsidRPr="001335C8">
        <w:t xml:space="preserve">Office of the Correctional Investigator. (2012). </w:t>
      </w:r>
      <w:r w:rsidRPr="001335C8">
        <w:rPr>
          <w:i/>
          <w:iCs/>
        </w:rPr>
        <w:t>Spirit Matters: Aboriginal People and the Corrections and Conditional Release Act</w:t>
      </w:r>
      <w:r w:rsidRPr="001335C8">
        <w:t>. Government of Canada.</w:t>
      </w:r>
    </w:p>
    <w:p w14:paraId="1BC4CB1C" w14:textId="77777777" w:rsidR="001335C8" w:rsidRPr="001335C8" w:rsidRDefault="001335C8" w:rsidP="001335C8">
      <w:pPr>
        <w:pStyle w:val="Bibliography"/>
      </w:pPr>
      <w:r w:rsidRPr="001335C8">
        <w:t xml:space="preserve">Office of the Correctional Investigator. (2019). </w:t>
      </w:r>
      <w:r w:rsidRPr="001335C8">
        <w:rPr>
          <w:i/>
          <w:iCs/>
        </w:rPr>
        <w:t>Resourcing, Performance, and Value for Investment in Federal Corrections: A Comparative Review</w:t>
      </w:r>
      <w:r w:rsidRPr="001335C8">
        <w:t xml:space="preserve"> (pp. 1–33). https://oci-bec.gc.ca/en/content/resourcing-performance-and-value-investment-federal-corrections-comparative-review</w:t>
      </w:r>
    </w:p>
    <w:p w14:paraId="67B0C012" w14:textId="77777777" w:rsidR="001335C8" w:rsidRPr="001335C8" w:rsidRDefault="001335C8" w:rsidP="001335C8">
      <w:pPr>
        <w:pStyle w:val="Bibliography"/>
      </w:pPr>
      <w:r w:rsidRPr="001335C8">
        <w:t xml:space="preserve">Parole Board of Canada. (2018). </w:t>
      </w:r>
      <w:r w:rsidRPr="001335C8">
        <w:rPr>
          <w:i/>
          <w:iCs/>
        </w:rPr>
        <w:t>History of Parole in Canada</w:t>
      </w:r>
      <w:r w:rsidRPr="001335C8">
        <w:t>. Government of Canada. https://www.canada.ca/en/parole-board/corporate/history-of-parole-in-canada.html</w:t>
      </w:r>
    </w:p>
    <w:p w14:paraId="02C556A6" w14:textId="77777777" w:rsidR="001335C8" w:rsidRPr="001335C8" w:rsidRDefault="001335C8" w:rsidP="001335C8">
      <w:pPr>
        <w:pStyle w:val="Bibliography"/>
      </w:pPr>
      <w:r w:rsidRPr="001335C8">
        <w:t xml:space="preserve">Parole Board of Canada. (2024, January 22). </w:t>
      </w:r>
      <w:r w:rsidRPr="001335C8">
        <w:rPr>
          <w:i/>
          <w:iCs/>
        </w:rPr>
        <w:t>Fact Sheet—Types of Release</w:t>
      </w:r>
      <w:r w:rsidRPr="001335C8">
        <w:t>. https://www.canada.ca/en/parole-board/corporate/publications-and-forms/types-of-release-fact-sheet.html</w:t>
      </w:r>
    </w:p>
    <w:p w14:paraId="6799C531" w14:textId="77777777" w:rsidR="001335C8" w:rsidRPr="001335C8" w:rsidRDefault="001335C8" w:rsidP="001335C8">
      <w:pPr>
        <w:pStyle w:val="Bibliography"/>
      </w:pPr>
      <w:r w:rsidRPr="001335C8">
        <w:t xml:space="preserve">Public Safety Canada. (2023). </w:t>
      </w:r>
      <w:r w:rsidRPr="001335C8">
        <w:rPr>
          <w:i/>
          <w:iCs/>
        </w:rPr>
        <w:t>Corrections and Conditional Release Statistical Overview</w:t>
      </w:r>
      <w:r w:rsidRPr="001335C8">
        <w:t xml:space="preserve"> (Public Safety Canada, Trans.; p. 182).</w:t>
      </w:r>
    </w:p>
    <w:p w14:paraId="112ECD0F" w14:textId="77777777" w:rsidR="001335C8" w:rsidRPr="001335C8" w:rsidRDefault="001335C8" w:rsidP="001335C8">
      <w:pPr>
        <w:pStyle w:val="Bibliography"/>
      </w:pPr>
      <w:r w:rsidRPr="001335C8">
        <w:t>R. v. Gladue, No. 26300 (Supreme Court of Canada April 23, 1999). https://decisions.scc-csc.ca/scc-csc/scc-csc/en/item/1695/index.do</w:t>
      </w:r>
    </w:p>
    <w:p w14:paraId="4B7D8447" w14:textId="77777777" w:rsidR="001335C8" w:rsidRPr="007854DD" w:rsidRDefault="001335C8" w:rsidP="001335C8">
      <w:pPr>
        <w:pStyle w:val="Bibliography"/>
        <w:rPr>
          <w:lang w:val="fr-CA"/>
        </w:rPr>
      </w:pPr>
      <w:r w:rsidRPr="001335C8">
        <w:t xml:space="preserve">Reid, A. A., &amp; Cole, D. P. (2023). The Road Less Travelled: Probation Trends in Canada Over the Past 30 Years. </w:t>
      </w:r>
      <w:r w:rsidRPr="007854DD">
        <w:rPr>
          <w:i/>
          <w:iCs/>
          <w:lang w:val="fr-CA"/>
        </w:rPr>
        <w:t xml:space="preserve">Canadian Journal of Criminology and Criminal Justice = Revue </w:t>
      </w:r>
      <w:r w:rsidRPr="007854DD">
        <w:rPr>
          <w:i/>
          <w:iCs/>
          <w:lang w:val="fr-CA"/>
        </w:rPr>
        <w:lastRenderedPageBreak/>
        <w:t>Canadienne de Criminologie et Justice Pénale.</w:t>
      </w:r>
      <w:r w:rsidRPr="007854DD">
        <w:rPr>
          <w:lang w:val="fr-CA"/>
        </w:rPr>
        <w:t xml:space="preserve">, </w:t>
      </w:r>
      <w:r w:rsidRPr="007854DD">
        <w:rPr>
          <w:i/>
          <w:iCs/>
          <w:lang w:val="fr-CA"/>
        </w:rPr>
        <w:t>65</w:t>
      </w:r>
      <w:r w:rsidRPr="007854DD">
        <w:rPr>
          <w:lang w:val="fr-CA"/>
        </w:rPr>
        <w:t>(2), Article 2. https://doi.org/10.3138/cjccj.2022-0035</w:t>
      </w:r>
    </w:p>
    <w:p w14:paraId="29486ABE" w14:textId="77777777" w:rsidR="001335C8" w:rsidRPr="001335C8" w:rsidRDefault="001335C8" w:rsidP="001335C8">
      <w:pPr>
        <w:pStyle w:val="Bibliography"/>
      </w:pPr>
      <w:r w:rsidRPr="001335C8">
        <w:t xml:space="preserve">Robinson, P., Small, T., Chen, A., &amp; Irving, M. (2023). </w:t>
      </w:r>
      <w:r w:rsidRPr="001335C8">
        <w:rPr>
          <w:i/>
          <w:iCs/>
        </w:rPr>
        <w:t>Over-representation of Indigenous persons in adult provincial custody, 2019/2020 and 2020/2021</w:t>
      </w:r>
      <w:r w:rsidRPr="001335C8">
        <w:t xml:space="preserve"> (Nos. 1209–6393; Issues 1209–6393). Statistics Canada; Juristat. https://www150.statcan.gc.ca/n1/en/catalogue/85-002-X202300100004</w:t>
      </w:r>
    </w:p>
    <w:p w14:paraId="5A33B16C" w14:textId="77777777" w:rsidR="001335C8" w:rsidRPr="001335C8" w:rsidRDefault="001335C8" w:rsidP="001335C8">
      <w:pPr>
        <w:pStyle w:val="Bibliography"/>
      </w:pPr>
      <w:r w:rsidRPr="001335C8">
        <w:t xml:space="preserve">Statistics Canada. (2022). </w:t>
      </w:r>
      <w:r w:rsidRPr="001335C8">
        <w:rPr>
          <w:i/>
          <w:iCs/>
        </w:rPr>
        <w:t>Adult and youth correctional statistics, 2020/2021</w:t>
      </w:r>
      <w:r w:rsidRPr="001335C8">
        <w:t xml:space="preserve"> (The Daily, pp. 1–6) [Component of catalogue no. 11-001-X]. https://www150.statcan.gc.ca/n1/daily-quotidien/220420/dq220420c-eng.htm</w:t>
      </w:r>
    </w:p>
    <w:p w14:paraId="0C2A5122" w14:textId="77777777" w:rsidR="001335C8" w:rsidRPr="001335C8" w:rsidRDefault="001335C8" w:rsidP="001335C8">
      <w:pPr>
        <w:pStyle w:val="Bibliography"/>
      </w:pPr>
      <w:r w:rsidRPr="001335C8">
        <w:t xml:space="preserve">Statistics Canada. (2025a). </w:t>
      </w:r>
      <w:r w:rsidRPr="001335C8">
        <w:rPr>
          <w:i/>
          <w:iCs/>
        </w:rPr>
        <w:t>Average counts of adults in provincial and territorial correctional programs</w:t>
      </w:r>
      <w:r w:rsidRPr="001335C8">
        <w:t xml:space="preserve"> (Nos. 35-10-0154–01) [Dataset]. Government of Canada. https://doi.org/10.25318/3510015401-ENG</w:t>
      </w:r>
    </w:p>
    <w:p w14:paraId="4E77311C" w14:textId="77777777" w:rsidR="001335C8" w:rsidRPr="001335C8" w:rsidRDefault="001335C8" w:rsidP="001335C8">
      <w:pPr>
        <w:pStyle w:val="Bibliography"/>
      </w:pPr>
      <w:r w:rsidRPr="001335C8">
        <w:t xml:space="preserve">Statistics Canada. (2025b). </w:t>
      </w:r>
      <w:r w:rsidRPr="001335C8">
        <w:rPr>
          <w:i/>
          <w:iCs/>
        </w:rPr>
        <w:t>Average counts of offenders in federal programs, Canada and regions</w:t>
      </w:r>
      <w:r w:rsidRPr="001335C8">
        <w:t xml:space="preserve"> (Nos. 35-10-0155–01) [Dataset]. Government of Canada. https://doi.org/10.25318/3510015501-ENG</w:t>
      </w:r>
    </w:p>
    <w:p w14:paraId="4DA3DC02" w14:textId="77777777" w:rsidR="001335C8" w:rsidRPr="001335C8" w:rsidRDefault="001335C8" w:rsidP="001335C8">
      <w:pPr>
        <w:pStyle w:val="Bibliography"/>
      </w:pPr>
      <w:r w:rsidRPr="001335C8">
        <w:t xml:space="preserve">Statistics Canada. (2025c). </w:t>
      </w:r>
      <w:r w:rsidRPr="001335C8">
        <w:rPr>
          <w:i/>
          <w:iCs/>
        </w:rPr>
        <w:t>Correctional services statistics: Interactive dashboard</w:t>
      </w:r>
      <w:r w:rsidRPr="001335C8">
        <w:t xml:space="preserve"> (Version Youth) [Dataset]. https://www150.statcan.gc.ca/n1/pub/71-607-x/71-607-x2019018-eng.htm</w:t>
      </w:r>
    </w:p>
    <w:p w14:paraId="223C1497" w14:textId="77777777" w:rsidR="001335C8" w:rsidRPr="001335C8" w:rsidRDefault="001335C8" w:rsidP="001335C8">
      <w:pPr>
        <w:pStyle w:val="Bibliography"/>
      </w:pPr>
      <w:r w:rsidRPr="001335C8">
        <w:t xml:space="preserve">Statistics Canada. (2025d). </w:t>
      </w:r>
      <w:r w:rsidRPr="001335C8">
        <w:rPr>
          <w:i/>
          <w:iCs/>
        </w:rPr>
        <w:t>Population estimates, quarterly</w:t>
      </w:r>
      <w:r w:rsidRPr="001335C8">
        <w:t xml:space="preserve"> [Dataset]. Government of Canada. https://doi.org/10.25318/1710000901-ENG</w:t>
      </w:r>
    </w:p>
    <w:p w14:paraId="75EEB2DA" w14:textId="77777777" w:rsidR="001335C8" w:rsidRPr="001335C8" w:rsidRDefault="001335C8" w:rsidP="001335C8">
      <w:pPr>
        <w:pStyle w:val="Bibliography"/>
      </w:pPr>
      <w:r w:rsidRPr="001335C8">
        <w:t xml:space="preserve">Statistics Canada. (2025e). </w:t>
      </w:r>
      <w:r w:rsidRPr="001335C8">
        <w:rPr>
          <w:i/>
          <w:iCs/>
        </w:rPr>
        <w:t>Youth admissions to correctional services, by age and sex</w:t>
      </w:r>
      <w:r w:rsidRPr="001335C8">
        <w:t xml:space="preserve"> [Table 35-10-0006-01]. Government of Canada. https://doi.org/10.25318/3510000601-ENG</w:t>
      </w:r>
    </w:p>
    <w:p w14:paraId="615058C5" w14:textId="77777777" w:rsidR="001335C8" w:rsidRPr="001335C8" w:rsidRDefault="001335C8" w:rsidP="001335C8">
      <w:pPr>
        <w:pStyle w:val="Bibliography"/>
      </w:pPr>
      <w:r w:rsidRPr="001335C8">
        <w:lastRenderedPageBreak/>
        <w:t xml:space="preserve">Statistics Canada. (2025f). </w:t>
      </w:r>
      <w:r w:rsidRPr="001335C8">
        <w:rPr>
          <w:i/>
          <w:iCs/>
        </w:rPr>
        <w:t>Youth admissions to correctional services, by Indigenous identity and sex</w:t>
      </w:r>
      <w:r w:rsidRPr="001335C8">
        <w:t xml:space="preserve"> [Table 35-10-0007-01]. Government of Canada. https://doi.org/10.25318/3510000701-ENG</w:t>
      </w:r>
    </w:p>
    <w:p w14:paraId="626A55E8" w14:textId="77777777" w:rsidR="001335C8" w:rsidRPr="001335C8" w:rsidRDefault="001335C8" w:rsidP="001335C8">
      <w:pPr>
        <w:pStyle w:val="Bibliography"/>
      </w:pPr>
      <w:r w:rsidRPr="001335C8">
        <w:t xml:space="preserve">Weinrath, M. (2020). Probation and Community Corrections. In M. Weinrath &amp; J. Winterdyk (Eds.), </w:t>
      </w:r>
      <w:r w:rsidRPr="001335C8">
        <w:rPr>
          <w:i/>
          <w:iCs/>
        </w:rPr>
        <w:t>ACC adult corrections in Canada</w:t>
      </w:r>
      <w:r w:rsidRPr="001335C8">
        <w:t xml:space="preserve"> (2nd ed., pp. 87–115). De Sitter Publications.</w:t>
      </w:r>
    </w:p>
    <w:p w14:paraId="0AE84876" w14:textId="3EF2AFB8" w:rsidR="007603A0" w:rsidRPr="007A1FE4" w:rsidRDefault="007603A0" w:rsidP="00D64676">
      <w:pPr>
        <w:ind w:left="284" w:hanging="284"/>
        <w:rPr>
          <w:lang w:val="en-GB"/>
        </w:rPr>
      </w:pPr>
      <w:r>
        <w:rPr>
          <w:lang w:val="en-GB"/>
        </w:rPr>
        <w:fldChar w:fldCharType="end"/>
      </w:r>
    </w:p>
    <w:p w14:paraId="0DE51BB0" w14:textId="77777777" w:rsidR="00E619D1" w:rsidRDefault="00E619D1" w:rsidP="00D64676">
      <w:pPr>
        <w:ind w:left="284" w:hanging="284"/>
      </w:pPr>
    </w:p>
    <w:p w14:paraId="79565525" w14:textId="77777777" w:rsidR="00E619D1" w:rsidRDefault="00E619D1" w:rsidP="00D64676">
      <w:pPr>
        <w:ind w:left="284" w:hanging="284"/>
      </w:pPr>
    </w:p>
    <w:p w14:paraId="49BD7A67" w14:textId="1531F389" w:rsidR="007A1FE4" w:rsidRDefault="007A1FE4" w:rsidP="00D64676">
      <w:pPr>
        <w:ind w:left="284" w:hanging="284"/>
      </w:pPr>
      <w:fldSimple w:instr=" ADDIN EN.REFLIST "/>
    </w:p>
    <w:sectPr w:rsidR="007A1FE4" w:rsidSect="00644919">
      <w:footerReference w:type="default" r:id="rId15"/>
      <w:headerReference w:type="first" r:id="rId16"/>
      <w:pgSz w:w="12240" w:h="15840"/>
      <w:pgMar w:top="180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331E" w14:textId="77777777" w:rsidR="0071009D" w:rsidRDefault="0071009D">
      <w:r>
        <w:separator/>
      </w:r>
    </w:p>
    <w:p w14:paraId="26EA07E7" w14:textId="77777777" w:rsidR="0071009D" w:rsidRDefault="0071009D"/>
  </w:endnote>
  <w:endnote w:type="continuationSeparator" w:id="0">
    <w:p w14:paraId="101476AB" w14:textId="77777777" w:rsidR="0071009D" w:rsidRDefault="0071009D">
      <w:r>
        <w:continuationSeparator/>
      </w:r>
    </w:p>
    <w:p w14:paraId="7C192F0C" w14:textId="77777777" w:rsidR="0071009D" w:rsidRDefault="00710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8EFF" w14:textId="77777777" w:rsidR="00410136" w:rsidRDefault="00410136" w:rsidP="007B380C">
    <w:pPr>
      <w:pStyle w:val="Footer"/>
      <w:framePr w:wrap="none" w:vAnchor="text" w:hAnchor="margin" w:xAlign="right" w:y="1"/>
      <w:rPr>
        <w:rStyle w:val="PageNumber"/>
      </w:rPr>
    </w:pPr>
  </w:p>
  <w:p w14:paraId="08A6C25A" w14:textId="77777777" w:rsidR="00F72A67" w:rsidRDefault="00F72A67" w:rsidP="008C41A3">
    <w:pPr>
      <w:pStyle w:val="Footer"/>
      <w:ind w:right="360"/>
    </w:pP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5487C"/>
      </w:rPr>
      <w:id w:val="1396392255"/>
      <w:docPartObj>
        <w:docPartGallery w:val="Page Numbers (Bottom of Page)"/>
        <w:docPartUnique/>
      </w:docPartObj>
    </w:sdtPr>
    <w:sdtEndPr>
      <w:rPr>
        <w:noProof/>
        <w:color w:val="0070C0"/>
      </w:rPr>
    </w:sdtEndPr>
    <w:sdtContent>
      <w:p w14:paraId="7EED33FC" w14:textId="77777777" w:rsidR="00A41B88" w:rsidRPr="00644919" w:rsidRDefault="002F691F">
        <w:pPr>
          <w:pStyle w:val="Footer"/>
          <w:rPr>
            <w:color w:val="0070C0"/>
          </w:rPr>
        </w:pPr>
        <w:r w:rsidRPr="00644919">
          <w:rPr>
            <w:color w:val="0070C0"/>
          </w:rPr>
          <w:fldChar w:fldCharType="begin"/>
        </w:r>
        <w:r w:rsidRPr="00644919">
          <w:rPr>
            <w:color w:val="0070C0"/>
          </w:rPr>
          <w:instrText xml:space="preserve"> PAGE   \* MERGEFORMAT </w:instrText>
        </w:r>
        <w:r w:rsidRPr="00644919">
          <w:rPr>
            <w:color w:val="0070C0"/>
          </w:rPr>
          <w:fldChar w:fldCharType="separate"/>
        </w:r>
        <w:r w:rsidRPr="00644919">
          <w:rPr>
            <w:noProof/>
            <w:color w:val="0070C0"/>
          </w:rPr>
          <w:t>2</w:t>
        </w:r>
        <w:r w:rsidRPr="00644919">
          <w:rPr>
            <w:noProof/>
            <w:color w:val="0070C0"/>
          </w:rPr>
          <w:fldChar w:fldCharType="end"/>
        </w:r>
      </w:p>
    </w:sdtContent>
  </w:sdt>
  <w:p w14:paraId="0ACE0B46" w14:textId="77777777" w:rsidR="00F4243E" w:rsidRDefault="00F42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0BA8" w14:textId="77777777" w:rsidR="0071009D" w:rsidRDefault="0071009D">
      <w:r>
        <w:separator/>
      </w:r>
    </w:p>
    <w:p w14:paraId="0156FE62" w14:textId="77777777" w:rsidR="0071009D" w:rsidRDefault="0071009D"/>
  </w:footnote>
  <w:footnote w:type="continuationSeparator" w:id="0">
    <w:p w14:paraId="4D153B1C" w14:textId="77777777" w:rsidR="0071009D" w:rsidRDefault="0071009D">
      <w:r>
        <w:continuationSeparator/>
      </w:r>
    </w:p>
    <w:p w14:paraId="42899173" w14:textId="77777777" w:rsidR="0071009D" w:rsidRDefault="00710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CB0D" w14:textId="77777777" w:rsidR="00835C29" w:rsidRDefault="008C41A3">
    <w:pPr>
      <w:pStyle w:val="Header"/>
    </w:pPr>
    <w:r>
      <w:rPr>
        <w:noProof/>
      </w:rPr>
      <mc:AlternateContent>
        <mc:Choice Requires="wps">
          <w:drawing>
            <wp:anchor distT="0" distB="0" distL="114300" distR="114300" simplePos="0" relativeHeight="251676672" behindDoc="0" locked="0" layoutInCell="1" allowOverlap="1" wp14:anchorId="40F16BED" wp14:editId="08C632FA">
              <wp:simplePos x="0" y="0"/>
              <wp:positionH relativeFrom="column">
                <wp:posOffset>453389</wp:posOffset>
              </wp:positionH>
              <wp:positionV relativeFrom="paragraph">
                <wp:posOffset>534671</wp:posOffset>
              </wp:positionV>
              <wp:extent cx="154513" cy="155329"/>
              <wp:effectExtent l="0" t="0" r="10795" b="10160"/>
              <wp:wrapNone/>
              <wp:docPr id="19" name="Oval 19"/>
              <wp:cNvGraphicFramePr/>
              <a:graphic xmlns:a="http://schemas.openxmlformats.org/drawingml/2006/main">
                <a:graphicData uri="http://schemas.microsoft.com/office/word/2010/wordprocessingShape">
                  <wps:wsp>
                    <wps:cNvSpPr/>
                    <wps:spPr>
                      <a:xfrm rot="10800000" flipH="1" flipV="1">
                        <a:off x="0" y="0"/>
                        <a:ext cx="154513" cy="155329"/>
                      </a:xfrm>
                      <a:prstGeom prst="ellipse">
                        <a:avLst/>
                      </a:prstGeom>
                      <a:solidFill>
                        <a:srgbClr val="25487C"/>
                      </a:solidFill>
                      <a:ln>
                        <a:solidFill>
                          <a:srgbClr val="2548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E9B6B" id="Oval 19" o:spid="_x0000_s1026" style="position:absolute;margin-left:35.7pt;margin-top:42.1pt;width:12.15pt;height:12.25pt;rotation:180;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" fillcolor="#25487c" strokecolor="#25487c" strokeweight="1pt">
              <v:stroke joinstyle="miter"/>
            </v:oval>
          </w:pict>
        </mc:Fallback>
      </mc:AlternateContent>
    </w:r>
    <w:r>
      <w:rPr>
        <w:noProof/>
      </w:rPr>
      <mc:AlternateContent>
        <mc:Choice Requires="wps">
          <w:drawing>
            <wp:anchor distT="0" distB="0" distL="114300" distR="114300" simplePos="0" relativeHeight="251674624" behindDoc="0" locked="0" layoutInCell="1" allowOverlap="1" wp14:anchorId="369E4610" wp14:editId="70F291DA">
              <wp:simplePos x="0" y="0"/>
              <wp:positionH relativeFrom="column">
                <wp:posOffset>-645160</wp:posOffset>
              </wp:positionH>
              <wp:positionV relativeFrom="paragraph">
                <wp:posOffset>322580</wp:posOffset>
              </wp:positionV>
              <wp:extent cx="142240" cy="139700"/>
              <wp:effectExtent l="0" t="0" r="10160" b="12700"/>
              <wp:wrapNone/>
              <wp:docPr id="15" name="Oval 15"/>
              <wp:cNvGraphicFramePr/>
              <a:graphic xmlns:a="http://schemas.openxmlformats.org/drawingml/2006/main">
                <a:graphicData uri="http://schemas.microsoft.com/office/word/2010/wordprocessingShape">
                  <wps:wsp>
                    <wps:cNvSpPr/>
                    <wps:spPr>
                      <a:xfrm>
                        <a:off x="0" y="0"/>
                        <a:ext cx="142240" cy="139700"/>
                      </a:xfrm>
                      <a:prstGeom prst="ellipse">
                        <a:avLst/>
                      </a:prstGeom>
                      <a:solidFill>
                        <a:srgbClr val="25487C"/>
                      </a:solidFill>
                      <a:ln>
                        <a:solidFill>
                          <a:srgbClr val="2548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DE583" id="Oval 15" o:spid="_x0000_s1026" style="position:absolute;margin-left:-50.8pt;margin-top:25.4pt;width:11.2pt;height: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" fillcolor="#25487c" strokecolor="#25487c" strokeweight="1pt">
              <v:stroke joinstyle="miter"/>
            </v:oval>
          </w:pict>
        </mc:Fallback>
      </mc:AlternateContent>
    </w:r>
    <w:r>
      <w:rPr>
        <w:noProof/>
      </w:rPr>
      <mc:AlternateContent>
        <mc:Choice Requires="wps">
          <w:drawing>
            <wp:anchor distT="0" distB="0" distL="114300" distR="114300" simplePos="0" relativeHeight="251672576" behindDoc="0" locked="0" layoutInCell="1" allowOverlap="1" wp14:anchorId="24D24152" wp14:editId="3120BAA3">
              <wp:simplePos x="0" y="0"/>
              <wp:positionH relativeFrom="column">
                <wp:posOffset>-137160</wp:posOffset>
              </wp:positionH>
              <wp:positionV relativeFrom="paragraph">
                <wp:posOffset>58420</wp:posOffset>
              </wp:positionV>
              <wp:extent cx="142240" cy="139700"/>
              <wp:effectExtent l="0" t="0" r="10160" b="12700"/>
              <wp:wrapNone/>
              <wp:docPr id="14" name="Oval 14"/>
              <wp:cNvGraphicFramePr/>
              <a:graphic xmlns:a="http://schemas.openxmlformats.org/drawingml/2006/main">
                <a:graphicData uri="http://schemas.microsoft.com/office/word/2010/wordprocessingShape">
                  <wps:wsp>
                    <wps:cNvSpPr/>
                    <wps:spPr>
                      <a:xfrm>
                        <a:off x="0" y="0"/>
                        <a:ext cx="142240" cy="139700"/>
                      </a:xfrm>
                      <a:prstGeom prst="ellipse">
                        <a:avLst/>
                      </a:prstGeom>
                      <a:solidFill>
                        <a:srgbClr val="25487C"/>
                      </a:solidFill>
                      <a:ln>
                        <a:solidFill>
                          <a:srgbClr val="2548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DC863" id="Oval 14" o:spid="_x0000_s1026" style="position:absolute;margin-left:-10.8pt;margin-top:4.6pt;width:11.2pt;height: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" fillcolor="#25487c" strokecolor="#25487c"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4FA4BC81" wp14:editId="7DE09107">
              <wp:simplePos x="0" y="0"/>
              <wp:positionH relativeFrom="column">
                <wp:posOffset>558800</wp:posOffset>
              </wp:positionH>
              <wp:positionV relativeFrom="paragraph">
                <wp:posOffset>632460</wp:posOffset>
              </wp:positionV>
              <wp:extent cx="9255760" cy="0"/>
              <wp:effectExtent l="0" t="12700" r="27940" b="25400"/>
              <wp:wrapNone/>
              <wp:docPr id="13" name="Straight Connector 13"/>
              <wp:cNvGraphicFramePr/>
              <a:graphic xmlns:a="http://schemas.openxmlformats.org/drawingml/2006/main">
                <a:graphicData uri="http://schemas.microsoft.com/office/word/2010/wordprocessingShape">
                  <wps:wsp>
                    <wps:cNvCnPr/>
                    <wps:spPr>
                      <a:xfrm>
                        <a:off x="0" y="0"/>
                        <a:ext cx="9255760" cy="0"/>
                      </a:xfrm>
                      <a:prstGeom prst="line">
                        <a:avLst/>
                      </a:prstGeom>
                      <a:ln w="38100" cmpd="sng">
                        <a:solidFill>
                          <a:srgbClr val="25487C"/>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22067"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49.8pt" to="772.8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" strokecolor="#25487c" strokeweight="3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2B28B686" wp14:editId="53EF0B9E">
              <wp:simplePos x="0" y="0"/>
              <wp:positionH relativeFrom="column">
                <wp:posOffset>-568960</wp:posOffset>
              </wp:positionH>
              <wp:positionV relativeFrom="paragraph">
                <wp:posOffset>388620</wp:posOffset>
              </wp:positionV>
              <wp:extent cx="9255760" cy="0"/>
              <wp:effectExtent l="0" t="12700" r="27940" b="25400"/>
              <wp:wrapNone/>
              <wp:docPr id="12" name="Straight Connector 12"/>
              <wp:cNvGraphicFramePr/>
              <a:graphic xmlns:a="http://schemas.openxmlformats.org/drawingml/2006/main">
                <a:graphicData uri="http://schemas.microsoft.com/office/word/2010/wordprocessingShape">
                  <wps:wsp>
                    <wps:cNvCnPr/>
                    <wps:spPr>
                      <a:xfrm>
                        <a:off x="0" y="0"/>
                        <a:ext cx="9255760" cy="0"/>
                      </a:xfrm>
                      <a:prstGeom prst="line">
                        <a:avLst/>
                      </a:prstGeom>
                      <a:ln w="38100" cmpd="sng">
                        <a:solidFill>
                          <a:srgbClr val="25487C"/>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D7EAC"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pt,30.6pt" to="68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" strokecolor="#25487c" strokeweight="3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49D9D8B" wp14:editId="7DB19B9C">
              <wp:simplePos x="0" y="0"/>
              <wp:positionH relativeFrom="column">
                <wp:posOffset>0</wp:posOffset>
              </wp:positionH>
              <wp:positionV relativeFrom="paragraph">
                <wp:posOffset>134620</wp:posOffset>
              </wp:positionV>
              <wp:extent cx="8920480" cy="0"/>
              <wp:effectExtent l="0" t="12700" r="33020" b="25400"/>
              <wp:wrapNone/>
              <wp:docPr id="11" name="Straight Connector 11"/>
              <wp:cNvGraphicFramePr/>
              <a:graphic xmlns:a="http://schemas.openxmlformats.org/drawingml/2006/main">
                <a:graphicData uri="http://schemas.microsoft.com/office/word/2010/wordprocessingShape">
                  <wps:wsp>
                    <wps:cNvCnPr/>
                    <wps:spPr>
                      <a:xfrm>
                        <a:off x="0" y="0"/>
                        <a:ext cx="8920480" cy="0"/>
                      </a:xfrm>
                      <a:prstGeom prst="line">
                        <a:avLst/>
                      </a:prstGeom>
                      <a:ln w="38100" cmpd="sng">
                        <a:solidFill>
                          <a:srgbClr val="25487C"/>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A8A209"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pt" to="702.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" strokecolor="#25487c" strokeweight="3pt">
              <v:stroke joinstyle="miter"/>
            </v:line>
          </w:pict>
        </mc:Fallback>
      </mc:AlternateContent>
    </w:r>
    <w:r w:rsidR="00835C29">
      <w:rPr>
        <w:noProof/>
      </w:rPr>
      <mc:AlternateContent>
        <mc:Choice Requires="wps">
          <w:drawing>
            <wp:anchor distT="0" distB="0" distL="114300" distR="114300" simplePos="0" relativeHeight="251659264" behindDoc="0" locked="0" layoutInCell="1" allowOverlap="1" wp14:anchorId="21AB9FC4" wp14:editId="501CF1DA">
              <wp:simplePos x="0" y="0"/>
              <wp:positionH relativeFrom="column">
                <wp:posOffset>-1132840</wp:posOffset>
              </wp:positionH>
              <wp:positionV relativeFrom="paragraph">
                <wp:posOffset>-91440</wp:posOffset>
              </wp:positionV>
              <wp:extent cx="7731760" cy="0"/>
              <wp:effectExtent l="0" t="12700" r="27940" b="25400"/>
              <wp:wrapNone/>
              <wp:docPr id="2" name="Straight Connector 2"/>
              <wp:cNvGraphicFramePr/>
              <a:graphic xmlns:a="http://schemas.openxmlformats.org/drawingml/2006/main">
                <a:graphicData uri="http://schemas.microsoft.com/office/word/2010/wordprocessingShape">
                  <wps:wsp>
                    <wps:cNvCnPr/>
                    <wps:spPr>
                      <a:xfrm>
                        <a:off x="0" y="0"/>
                        <a:ext cx="7731760" cy="0"/>
                      </a:xfrm>
                      <a:prstGeom prst="line">
                        <a:avLst/>
                      </a:prstGeom>
                      <a:ln w="38100" cmpd="sng">
                        <a:solidFill>
                          <a:srgbClr val="25487C"/>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B1F9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2pt,-7.2pt" to="51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" strokecolor="#25487c" strokeweight="3pt">
              <v:stroke joinstyle="miter"/>
            </v:line>
          </w:pict>
        </mc:Fallback>
      </mc:AlternateConten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4F1A" w14:textId="77777777" w:rsidR="002625F6" w:rsidRDefault="0026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A0366"/>
    <w:multiLevelType w:val="hybridMultilevel"/>
    <w:tmpl w:val="72467740"/>
    <w:lvl w:ilvl="0" w:tplc="746A7DF2">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F0A69"/>
    <w:multiLevelType w:val="multilevel"/>
    <w:tmpl w:val="01E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3737CC"/>
    <w:multiLevelType w:val="hybridMultilevel"/>
    <w:tmpl w:val="5E9AAFF6"/>
    <w:lvl w:ilvl="0" w:tplc="C0ECC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0800FB"/>
    <w:multiLevelType w:val="hybridMultilevel"/>
    <w:tmpl w:val="72FCA22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43840">
    <w:abstractNumId w:val="9"/>
  </w:num>
  <w:num w:numId="2" w16cid:durableId="644503758">
    <w:abstractNumId w:val="13"/>
  </w:num>
  <w:num w:numId="3" w16cid:durableId="1864704798">
    <w:abstractNumId w:val="13"/>
  </w:num>
  <w:num w:numId="4" w16cid:durableId="2103717350">
    <w:abstractNumId w:val="13"/>
  </w:num>
  <w:num w:numId="5" w16cid:durableId="1407993132">
    <w:abstractNumId w:val="13"/>
  </w:num>
  <w:num w:numId="6" w16cid:durableId="1427728683">
    <w:abstractNumId w:val="8"/>
  </w:num>
  <w:num w:numId="7" w16cid:durableId="650447403">
    <w:abstractNumId w:val="16"/>
  </w:num>
  <w:num w:numId="8" w16cid:durableId="270939332">
    <w:abstractNumId w:val="7"/>
  </w:num>
  <w:num w:numId="9" w16cid:durableId="1781490501">
    <w:abstractNumId w:val="6"/>
  </w:num>
  <w:num w:numId="10" w16cid:durableId="2060590044">
    <w:abstractNumId w:val="5"/>
  </w:num>
  <w:num w:numId="11" w16cid:durableId="565186846">
    <w:abstractNumId w:val="4"/>
  </w:num>
  <w:num w:numId="12" w16cid:durableId="223176686">
    <w:abstractNumId w:val="3"/>
  </w:num>
  <w:num w:numId="13" w16cid:durableId="435028911">
    <w:abstractNumId w:val="2"/>
  </w:num>
  <w:num w:numId="14" w16cid:durableId="1928032582">
    <w:abstractNumId w:val="1"/>
  </w:num>
  <w:num w:numId="15" w16cid:durableId="1050764966">
    <w:abstractNumId w:val="0"/>
  </w:num>
  <w:num w:numId="16" w16cid:durableId="116265174">
    <w:abstractNumId w:val="14"/>
  </w:num>
  <w:num w:numId="17" w16cid:durableId="228615418">
    <w:abstractNumId w:val="15"/>
  </w:num>
  <w:num w:numId="18" w16cid:durableId="1104619365">
    <w:abstractNumId w:val="12"/>
  </w:num>
  <w:num w:numId="19" w16cid:durableId="66348717">
    <w:abstractNumId w:val="11"/>
  </w:num>
  <w:num w:numId="20" w16cid:durableId="974871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f5ptfsqesffneffsnvrz5npvxwx09vz0ae&quot;&gt;MPT-202410-Lib&lt;record-ids&gt;&lt;item&gt;2919&lt;/item&gt;&lt;/record-ids&gt;&lt;/item&gt;&lt;/Libraries&gt;"/>
  </w:docVars>
  <w:rsids>
    <w:rsidRoot w:val="00937383"/>
    <w:rsid w:val="00001FC3"/>
    <w:rsid w:val="00003E3D"/>
    <w:rsid w:val="000109B2"/>
    <w:rsid w:val="0001118F"/>
    <w:rsid w:val="00013527"/>
    <w:rsid w:val="000229F3"/>
    <w:rsid w:val="0002607A"/>
    <w:rsid w:val="000270AB"/>
    <w:rsid w:val="00032AEA"/>
    <w:rsid w:val="00035617"/>
    <w:rsid w:val="000413A4"/>
    <w:rsid w:val="00041FC4"/>
    <w:rsid w:val="00043000"/>
    <w:rsid w:val="00054549"/>
    <w:rsid w:val="000574B6"/>
    <w:rsid w:val="0006146E"/>
    <w:rsid w:val="000629C1"/>
    <w:rsid w:val="0006699B"/>
    <w:rsid w:val="0007087F"/>
    <w:rsid w:val="000715DA"/>
    <w:rsid w:val="00071D17"/>
    <w:rsid w:val="00083B81"/>
    <w:rsid w:val="00084FCE"/>
    <w:rsid w:val="000850AF"/>
    <w:rsid w:val="0008751B"/>
    <w:rsid w:val="00087B03"/>
    <w:rsid w:val="000906E7"/>
    <w:rsid w:val="00091339"/>
    <w:rsid w:val="00091C11"/>
    <w:rsid w:val="0009407B"/>
    <w:rsid w:val="00095441"/>
    <w:rsid w:val="000A4AA1"/>
    <w:rsid w:val="000A78C4"/>
    <w:rsid w:val="000B75E0"/>
    <w:rsid w:val="000C067D"/>
    <w:rsid w:val="000C0EDA"/>
    <w:rsid w:val="000C235D"/>
    <w:rsid w:val="000C3C2B"/>
    <w:rsid w:val="000D72B0"/>
    <w:rsid w:val="000E28EB"/>
    <w:rsid w:val="000E6C01"/>
    <w:rsid w:val="001042B9"/>
    <w:rsid w:val="0010522E"/>
    <w:rsid w:val="00105B74"/>
    <w:rsid w:val="001129BF"/>
    <w:rsid w:val="00113AF7"/>
    <w:rsid w:val="00122502"/>
    <w:rsid w:val="001232DF"/>
    <w:rsid w:val="00131409"/>
    <w:rsid w:val="001320D2"/>
    <w:rsid w:val="00132D8F"/>
    <w:rsid w:val="001335C8"/>
    <w:rsid w:val="00134745"/>
    <w:rsid w:val="0013770D"/>
    <w:rsid w:val="00141F95"/>
    <w:rsid w:val="00144C15"/>
    <w:rsid w:val="00150F93"/>
    <w:rsid w:val="00161A24"/>
    <w:rsid w:val="00171775"/>
    <w:rsid w:val="00175AFC"/>
    <w:rsid w:val="001862D1"/>
    <w:rsid w:val="00191322"/>
    <w:rsid w:val="001943C9"/>
    <w:rsid w:val="00196FC5"/>
    <w:rsid w:val="001A2040"/>
    <w:rsid w:val="001A22EE"/>
    <w:rsid w:val="001B6393"/>
    <w:rsid w:val="001C15EF"/>
    <w:rsid w:val="001C5119"/>
    <w:rsid w:val="001C7D4E"/>
    <w:rsid w:val="001E1C31"/>
    <w:rsid w:val="001E4D98"/>
    <w:rsid w:val="001E75BF"/>
    <w:rsid w:val="001F0F54"/>
    <w:rsid w:val="001F1310"/>
    <w:rsid w:val="001F1738"/>
    <w:rsid w:val="00202D3E"/>
    <w:rsid w:val="0020772D"/>
    <w:rsid w:val="00213CC7"/>
    <w:rsid w:val="00226E88"/>
    <w:rsid w:val="0022706E"/>
    <w:rsid w:val="00231CCB"/>
    <w:rsid w:val="002422FE"/>
    <w:rsid w:val="00247FB0"/>
    <w:rsid w:val="002516EA"/>
    <w:rsid w:val="002625F6"/>
    <w:rsid w:val="002658F7"/>
    <w:rsid w:val="00274633"/>
    <w:rsid w:val="00277A86"/>
    <w:rsid w:val="00290C27"/>
    <w:rsid w:val="00296738"/>
    <w:rsid w:val="002A01B2"/>
    <w:rsid w:val="002A319C"/>
    <w:rsid w:val="002B2376"/>
    <w:rsid w:val="002B2B29"/>
    <w:rsid w:val="002B3763"/>
    <w:rsid w:val="002B4CB8"/>
    <w:rsid w:val="002B767B"/>
    <w:rsid w:val="002E03AF"/>
    <w:rsid w:val="002E463E"/>
    <w:rsid w:val="002E6621"/>
    <w:rsid w:val="002F4AE0"/>
    <w:rsid w:val="002F691F"/>
    <w:rsid w:val="002F71C1"/>
    <w:rsid w:val="00302435"/>
    <w:rsid w:val="003037B4"/>
    <w:rsid w:val="003037E9"/>
    <w:rsid w:val="00312AB3"/>
    <w:rsid w:val="0034227C"/>
    <w:rsid w:val="003440CF"/>
    <w:rsid w:val="003452EB"/>
    <w:rsid w:val="00354A00"/>
    <w:rsid w:val="00354A9D"/>
    <w:rsid w:val="003561FE"/>
    <w:rsid w:val="00356921"/>
    <w:rsid w:val="00360834"/>
    <w:rsid w:val="003637D3"/>
    <w:rsid w:val="00363AD3"/>
    <w:rsid w:val="003730DA"/>
    <w:rsid w:val="00384AF8"/>
    <w:rsid w:val="00386357"/>
    <w:rsid w:val="00387385"/>
    <w:rsid w:val="00392EFB"/>
    <w:rsid w:val="00394448"/>
    <w:rsid w:val="003950A0"/>
    <w:rsid w:val="00395184"/>
    <w:rsid w:val="003B0F5E"/>
    <w:rsid w:val="003B342E"/>
    <w:rsid w:val="003B5802"/>
    <w:rsid w:val="003C20EE"/>
    <w:rsid w:val="003C2CA7"/>
    <w:rsid w:val="003C56C2"/>
    <w:rsid w:val="003D2E10"/>
    <w:rsid w:val="003D3F48"/>
    <w:rsid w:val="003E06A5"/>
    <w:rsid w:val="003E0CC3"/>
    <w:rsid w:val="003F09EB"/>
    <w:rsid w:val="003F2EE4"/>
    <w:rsid w:val="003F3418"/>
    <w:rsid w:val="003F5D88"/>
    <w:rsid w:val="00403ED9"/>
    <w:rsid w:val="00404E6D"/>
    <w:rsid w:val="004073A4"/>
    <w:rsid w:val="00410136"/>
    <w:rsid w:val="004155D6"/>
    <w:rsid w:val="004176B3"/>
    <w:rsid w:val="0042043B"/>
    <w:rsid w:val="0042561B"/>
    <w:rsid w:val="00427EE4"/>
    <w:rsid w:val="00440FD9"/>
    <w:rsid w:val="00447C55"/>
    <w:rsid w:val="004505BB"/>
    <w:rsid w:val="00457785"/>
    <w:rsid w:val="0046028E"/>
    <w:rsid w:val="00470357"/>
    <w:rsid w:val="00475E23"/>
    <w:rsid w:val="00477C9C"/>
    <w:rsid w:val="004811DC"/>
    <w:rsid w:val="00484CB8"/>
    <w:rsid w:val="00495311"/>
    <w:rsid w:val="004A252D"/>
    <w:rsid w:val="004A4C57"/>
    <w:rsid w:val="004A580B"/>
    <w:rsid w:val="004A7159"/>
    <w:rsid w:val="004B2164"/>
    <w:rsid w:val="004B3BAB"/>
    <w:rsid w:val="004C4F08"/>
    <w:rsid w:val="004C7D5A"/>
    <w:rsid w:val="004D02B5"/>
    <w:rsid w:val="004D54C7"/>
    <w:rsid w:val="004D653D"/>
    <w:rsid w:val="004E36EC"/>
    <w:rsid w:val="004E5746"/>
    <w:rsid w:val="004F447A"/>
    <w:rsid w:val="00500CFF"/>
    <w:rsid w:val="0050383D"/>
    <w:rsid w:val="0050701E"/>
    <w:rsid w:val="0050727B"/>
    <w:rsid w:val="00511B38"/>
    <w:rsid w:val="00511DC0"/>
    <w:rsid w:val="005136D0"/>
    <w:rsid w:val="00520260"/>
    <w:rsid w:val="005215BE"/>
    <w:rsid w:val="00521A0C"/>
    <w:rsid w:val="00522B32"/>
    <w:rsid w:val="00534613"/>
    <w:rsid w:val="005377C4"/>
    <w:rsid w:val="0054227F"/>
    <w:rsid w:val="00544911"/>
    <w:rsid w:val="00546D06"/>
    <w:rsid w:val="005520B2"/>
    <w:rsid w:val="00555226"/>
    <w:rsid w:val="00555BE5"/>
    <w:rsid w:val="0056314F"/>
    <w:rsid w:val="00563DE7"/>
    <w:rsid w:val="00570AE9"/>
    <w:rsid w:val="00571C85"/>
    <w:rsid w:val="00572430"/>
    <w:rsid w:val="005730F9"/>
    <w:rsid w:val="00575247"/>
    <w:rsid w:val="00582204"/>
    <w:rsid w:val="005910EE"/>
    <w:rsid w:val="005A1C93"/>
    <w:rsid w:val="005A2A4D"/>
    <w:rsid w:val="005A533A"/>
    <w:rsid w:val="005B6496"/>
    <w:rsid w:val="005C1F75"/>
    <w:rsid w:val="005D04A2"/>
    <w:rsid w:val="005D5129"/>
    <w:rsid w:val="005E03FF"/>
    <w:rsid w:val="005E0D9B"/>
    <w:rsid w:val="00614F2F"/>
    <w:rsid w:val="00615BD1"/>
    <w:rsid w:val="0061662C"/>
    <w:rsid w:val="006246E4"/>
    <w:rsid w:val="00630D72"/>
    <w:rsid w:val="006365D6"/>
    <w:rsid w:val="00636936"/>
    <w:rsid w:val="00642D89"/>
    <w:rsid w:val="00644919"/>
    <w:rsid w:val="00655EE7"/>
    <w:rsid w:val="00656659"/>
    <w:rsid w:val="006619ED"/>
    <w:rsid w:val="00664A67"/>
    <w:rsid w:val="00673C82"/>
    <w:rsid w:val="00677817"/>
    <w:rsid w:val="00677D95"/>
    <w:rsid w:val="00682877"/>
    <w:rsid w:val="006847F8"/>
    <w:rsid w:val="00691942"/>
    <w:rsid w:val="00692E45"/>
    <w:rsid w:val="00697AA1"/>
    <w:rsid w:val="006A13DD"/>
    <w:rsid w:val="006A6888"/>
    <w:rsid w:val="006A7258"/>
    <w:rsid w:val="006B5527"/>
    <w:rsid w:val="006D15BD"/>
    <w:rsid w:val="006D1757"/>
    <w:rsid w:val="006E053B"/>
    <w:rsid w:val="006E18C6"/>
    <w:rsid w:val="006E4CC1"/>
    <w:rsid w:val="006E5151"/>
    <w:rsid w:val="0071009D"/>
    <w:rsid w:val="007117A4"/>
    <w:rsid w:val="00713A78"/>
    <w:rsid w:val="0071521A"/>
    <w:rsid w:val="00722C9C"/>
    <w:rsid w:val="00726F43"/>
    <w:rsid w:val="007319C2"/>
    <w:rsid w:val="007336BF"/>
    <w:rsid w:val="00742745"/>
    <w:rsid w:val="00742BD8"/>
    <w:rsid w:val="007516C9"/>
    <w:rsid w:val="00754971"/>
    <w:rsid w:val="00754C7E"/>
    <w:rsid w:val="0075588B"/>
    <w:rsid w:val="007603A0"/>
    <w:rsid w:val="00767695"/>
    <w:rsid w:val="00771F61"/>
    <w:rsid w:val="00772F59"/>
    <w:rsid w:val="00777050"/>
    <w:rsid w:val="007834C5"/>
    <w:rsid w:val="007854DD"/>
    <w:rsid w:val="007A1B0C"/>
    <w:rsid w:val="007A1FE4"/>
    <w:rsid w:val="007A4E7B"/>
    <w:rsid w:val="007C02BD"/>
    <w:rsid w:val="007C0559"/>
    <w:rsid w:val="007C1BF3"/>
    <w:rsid w:val="007C462F"/>
    <w:rsid w:val="007C5372"/>
    <w:rsid w:val="007C58A9"/>
    <w:rsid w:val="007C6261"/>
    <w:rsid w:val="007D3B0D"/>
    <w:rsid w:val="007D5533"/>
    <w:rsid w:val="007D555E"/>
    <w:rsid w:val="007D7BFD"/>
    <w:rsid w:val="007F3E60"/>
    <w:rsid w:val="007F67A7"/>
    <w:rsid w:val="00807A4F"/>
    <w:rsid w:val="00813326"/>
    <w:rsid w:val="0081599F"/>
    <w:rsid w:val="00823FE3"/>
    <w:rsid w:val="00824578"/>
    <w:rsid w:val="008314F7"/>
    <w:rsid w:val="008325A4"/>
    <w:rsid w:val="00835C29"/>
    <w:rsid w:val="00836B15"/>
    <w:rsid w:val="00842108"/>
    <w:rsid w:val="00855403"/>
    <w:rsid w:val="0087369C"/>
    <w:rsid w:val="00873D03"/>
    <w:rsid w:val="00873F58"/>
    <w:rsid w:val="00875785"/>
    <w:rsid w:val="00880D30"/>
    <w:rsid w:val="00880F5B"/>
    <w:rsid w:val="00884A11"/>
    <w:rsid w:val="00884AE0"/>
    <w:rsid w:val="00884FE9"/>
    <w:rsid w:val="0088660F"/>
    <w:rsid w:val="00886AAB"/>
    <w:rsid w:val="00891C8A"/>
    <w:rsid w:val="00891ECA"/>
    <w:rsid w:val="008921DF"/>
    <w:rsid w:val="00893137"/>
    <w:rsid w:val="00896900"/>
    <w:rsid w:val="008A06F9"/>
    <w:rsid w:val="008B134B"/>
    <w:rsid w:val="008B5FB2"/>
    <w:rsid w:val="008B7192"/>
    <w:rsid w:val="008C1833"/>
    <w:rsid w:val="008C41A3"/>
    <w:rsid w:val="008C563E"/>
    <w:rsid w:val="008D451C"/>
    <w:rsid w:val="008E2F92"/>
    <w:rsid w:val="008E3970"/>
    <w:rsid w:val="008E45C9"/>
    <w:rsid w:val="008E4ED7"/>
    <w:rsid w:val="008E7465"/>
    <w:rsid w:val="008F42AF"/>
    <w:rsid w:val="00903B6C"/>
    <w:rsid w:val="00906362"/>
    <w:rsid w:val="00913E27"/>
    <w:rsid w:val="00920D4F"/>
    <w:rsid w:val="00921500"/>
    <w:rsid w:val="00921959"/>
    <w:rsid w:val="00922291"/>
    <w:rsid w:val="00937383"/>
    <w:rsid w:val="00941D0C"/>
    <w:rsid w:val="00942951"/>
    <w:rsid w:val="00946B51"/>
    <w:rsid w:val="0096661F"/>
    <w:rsid w:val="009669E0"/>
    <w:rsid w:val="00974706"/>
    <w:rsid w:val="009757AD"/>
    <w:rsid w:val="00994EB8"/>
    <w:rsid w:val="009A32D3"/>
    <w:rsid w:val="009A45C7"/>
    <w:rsid w:val="009A46A3"/>
    <w:rsid w:val="009B2F87"/>
    <w:rsid w:val="009B4C35"/>
    <w:rsid w:val="009C0A3E"/>
    <w:rsid w:val="009C2771"/>
    <w:rsid w:val="009C58F1"/>
    <w:rsid w:val="009D07AA"/>
    <w:rsid w:val="009E0BF5"/>
    <w:rsid w:val="009E0D0B"/>
    <w:rsid w:val="009E434E"/>
    <w:rsid w:val="009E50CB"/>
    <w:rsid w:val="009F6156"/>
    <w:rsid w:val="009F6675"/>
    <w:rsid w:val="00A00D90"/>
    <w:rsid w:val="00A03405"/>
    <w:rsid w:val="00A176FE"/>
    <w:rsid w:val="00A24943"/>
    <w:rsid w:val="00A4186E"/>
    <w:rsid w:val="00A41B88"/>
    <w:rsid w:val="00A4409A"/>
    <w:rsid w:val="00A522D9"/>
    <w:rsid w:val="00A70315"/>
    <w:rsid w:val="00A72C2C"/>
    <w:rsid w:val="00A7550F"/>
    <w:rsid w:val="00A86AD4"/>
    <w:rsid w:val="00A9290A"/>
    <w:rsid w:val="00A93A48"/>
    <w:rsid w:val="00A9436A"/>
    <w:rsid w:val="00A9578C"/>
    <w:rsid w:val="00AA1170"/>
    <w:rsid w:val="00AA2487"/>
    <w:rsid w:val="00AA2682"/>
    <w:rsid w:val="00AA7CA4"/>
    <w:rsid w:val="00AC171C"/>
    <w:rsid w:val="00AC4DCB"/>
    <w:rsid w:val="00AD120C"/>
    <w:rsid w:val="00AD3435"/>
    <w:rsid w:val="00AD776D"/>
    <w:rsid w:val="00AE5C47"/>
    <w:rsid w:val="00AE740A"/>
    <w:rsid w:val="00AF21B3"/>
    <w:rsid w:val="00AF570D"/>
    <w:rsid w:val="00B062C5"/>
    <w:rsid w:val="00B12578"/>
    <w:rsid w:val="00B1728F"/>
    <w:rsid w:val="00B17E4A"/>
    <w:rsid w:val="00B20056"/>
    <w:rsid w:val="00B31E29"/>
    <w:rsid w:val="00B335D7"/>
    <w:rsid w:val="00B4708D"/>
    <w:rsid w:val="00B555EA"/>
    <w:rsid w:val="00B621F9"/>
    <w:rsid w:val="00B6348E"/>
    <w:rsid w:val="00B77152"/>
    <w:rsid w:val="00B82C5B"/>
    <w:rsid w:val="00B82CC0"/>
    <w:rsid w:val="00B84E76"/>
    <w:rsid w:val="00B85248"/>
    <w:rsid w:val="00B93C2A"/>
    <w:rsid w:val="00B94A99"/>
    <w:rsid w:val="00BB0EA5"/>
    <w:rsid w:val="00BC7CCF"/>
    <w:rsid w:val="00BD23D1"/>
    <w:rsid w:val="00BD7EF8"/>
    <w:rsid w:val="00BE13A3"/>
    <w:rsid w:val="00BE529F"/>
    <w:rsid w:val="00BE6B6A"/>
    <w:rsid w:val="00BF5205"/>
    <w:rsid w:val="00BF7275"/>
    <w:rsid w:val="00C040C7"/>
    <w:rsid w:val="00C05290"/>
    <w:rsid w:val="00C055FB"/>
    <w:rsid w:val="00C11ACC"/>
    <w:rsid w:val="00C27728"/>
    <w:rsid w:val="00C37C89"/>
    <w:rsid w:val="00C41439"/>
    <w:rsid w:val="00C478A6"/>
    <w:rsid w:val="00C53FEC"/>
    <w:rsid w:val="00C54479"/>
    <w:rsid w:val="00C578CE"/>
    <w:rsid w:val="00C62F0F"/>
    <w:rsid w:val="00C63DDA"/>
    <w:rsid w:val="00C7209D"/>
    <w:rsid w:val="00C85709"/>
    <w:rsid w:val="00C864AB"/>
    <w:rsid w:val="00C94166"/>
    <w:rsid w:val="00CA02BC"/>
    <w:rsid w:val="00CA135E"/>
    <w:rsid w:val="00CB7837"/>
    <w:rsid w:val="00CC2DF9"/>
    <w:rsid w:val="00CC7802"/>
    <w:rsid w:val="00CD3EB4"/>
    <w:rsid w:val="00CE36B4"/>
    <w:rsid w:val="00CE41F2"/>
    <w:rsid w:val="00D00B9F"/>
    <w:rsid w:val="00D02058"/>
    <w:rsid w:val="00D05715"/>
    <w:rsid w:val="00D05C03"/>
    <w:rsid w:val="00D0697D"/>
    <w:rsid w:val="00D06E91"/>
    <w:rsid w:val="00D11C10"/>
    <w:rsid w:val="00D2513E"/>
    <w:rsid w:val="00D31F41"/>
    <w:rsid w:val="00D339C6"/>
    <w:rsid w:val="00D41EA4"/>
    <w:rsid w:val="00D4352C"/>
    <w:rsid w:val="00D472ED"/>
    <w:rsid w:val="00D54B99"/>
    <w:rsid w:val="00D577C2"/>
    <w:rsid w:val="00D60678"/>
    <w:rsid w:val="00D64676"/>
    <w:rsid w:val="00D675EA"/>
    <w:rsid w:val="00D711C3"/>
    <w:rsid w:val="00D75411"/>
    <w:rsid w:val="00D80429"/>
    <w:rsid w:val="00D8274E"/>
    <w:rsid w:val="00D83568"/>
    <w:rsid w:val="00DA356D"/>
    <w:rsid w:val="00DA3D3E"/>
    <w:rsid w:val="00DA6BD7"/>
    <w:rsid w:val="00DA6D00"/>
    <w:rsid w:val="00DA7951"/>
    <w:rsid w:val="00DC1329"/>
    <w:rsid w:val="00DC362E"/>
    <w:rsid w:val="00DD04AD"/>
    <w:rsid w:val="00DD1844"/>
    <w:rsid w:val="00DD2CD8"/>
    <w:rsid w:val="00DD534D"/>
    <w:rsid w:val="00DE2327"/>
    <w:rsid w:val="00DF4020"/>
    <w:rsid w:val="00DF4940"/>
    <w:rsid w:val="00E00D7D"/>
    <w:rsid w:val="00E00E38"/>
    <w:rsid w:val="00E057D1"/>
    <w:rsid w:val="00E11192"/>
    <w:rsid w:val="00E17A52"/>
    <w:rsid w:val="00E226B6"/>
    <w:rsid w:val="00E229B9"/>
    <w:rsid w:val="00E26CF2"/>
    <w:rsid w:val="00E27FEA"/>
    <w:rsid w:val="00E33A13"/>
    <w:rsid w:val="00E34B23"/>
    <w:rsid w:val="00E55CBC"/>
    <w:rsid w:val="00E60E0E"/>
    <w:rsid w:val="00E619D1"/>
    <w:rsid w:val="00E64F4D"/>
    <w:rsid w:val="00E67EFA"/>
    <w:rsid w:val="00E72F4F"/>
    <w:rsid w:val="00E853AD"/>
    <w:rsid w:val="00E85B98"/>
    <w:rsid w:val="00E864CA"/>
    <w:rsid w:val="00E91FD5"/>
    <w:rsid w:val="00E92AA6"/>
    <w:rsid w:val="00EA4CFA"/>
    <w:rsid w:val="00EA5DB3"/>
    <w:rsid w:val="00EA74EA"/>
    <w:rsid w:val="00EB4627"/>
    <w:rsid w:val="00EB6592"/>
    <w:rsid w:val="00EC196F"/>
    <w:rsid w:val="00EC7A16"/>
    <w:rsid w:val="00ED04F4"/>
    <w:rsid w:val="00ED7B6D"/>
    <w:rsid w:val="00EE5CF0"/>
    <w:rsid w:val="00EF17B3"/>
    <w:rsid w:val="00EF7463"/>
    <w:rsid w:val="00F03744"/>
    <w:rsid w:val="00F229D1"/>
    <w:rsid w:val="00F2672B"/>
    <w:rsid w:val="00F270CB"/>
    <w:rsid w:val="00F32EE0"/>
    <w:rsid w:val="00F37674"/>
    <w:rsid w:val="00F377DD"/>
    <w:rsid w:val="00F4243E"/>
    <w:rsid w:val="00F4698A"/>
    <w:rsid w:val="00F50E51"/>
    <w:rsid w:val="00F53A2F"/>
    <w:rsid w:val="00F56812"/>
    <w:rsid w:val="00F60AC3"/>
    <w:rsid w:val="00F61D85"/>
    <w:rsid w:val="00F72286"/>
    <w:rsid w:val="00F72A67"/>
    <w:rsid w:val="00F74D36"/>
    <w:rsid w:val="00F75A6E"/>
    <w:rsid w:val="00F822F1"/>
    <w:rsid w:val="00F839B0"/>
    <w:rsid w:val="00F9675D"/>
    <w:rsid w:val="00FA2671"/>
    <w:rsid w:val="00FA416A"/>
    <w:rsid w:val="00FA4F96"/>
    <w:rsid w:val="00FA4F9E"/>
    <w:rsid w:val="00FA70E8"/>
    <w:rsid w:val="00FB3050"/>
    <w:rsid w:val="00FB5AAD"/>
    <w:rsid w:val="00FC0995"/>
    <w:rsid w:val="00FC1D5B"/>
    <w:rsid w:val="00FD5468"/>
    <w:rsid w:val="00FE520F"/>
    <w:rsid w:val="00FE7B92"/>
    <w:rsid w:val="00FF1C60"/>
    <w:rsid w:val="00FF24AE"/>
    <w:rsid w:val="00FF4225"/>
    <w:rsid w:val="00FF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74F61"/>
  <w15:chartTrackingRefBased/>
  <w15:docId w15:val="{AF55C0DF-ED96-3143-96AD-82248215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B8"/>
    <w:pPr>
      <w:spacing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spacing w:after="3700"/>
      <w:contextualSpacing/>
      <w:outlineLvl w:val="0"/>
    </w:pPr>
    <w:rPr>
      <w:rFonts w:asciiTheme="majorHAnsi" w:eastAsiaTheme="majorEastAsia" w:hAnsiTheme="majorHAnsi" w:cstheme="majorBidi"/>
      <w:b/>
      <w:caps/>
      <w:color w:val="2A2A2A" w:themeColor="text2"/>
      <w:sz w:val="90"/>
      <w:szCs w:val="32"/>
    </w:rPr>
  </w:style>
  <w:style w:type="paragraph" w:styleId="Heading2">
    <w:name w:val="heading 2"/>
    <w:basedOn w:val="Normal"/>
    <w:next w:val="Normal"/>
    <w:link w:val="Heading2Char"/>
    <w:uiPriority w:val="9"/>
    <w:unhideWhenUsed/>
    <w:qFormat/>
    <w:pPr>
      <w:keepNext/>
      <w:keepLines/>
      <w:spacing w:before="40" w:after="280"/>
      <w:contextualSpacing/>
      <w:outlineLvl w:val="1"/>
    </w:pPr>
    <w:rPr>
      <w:rFonts w:asciiTheme="majorHAnsi" w:hAnsiTheme="majorHAnsi" w:cstheme="majorBidi"/>
      <w:b/>
      <w:caps/>
      <w:color w:val="2A2A2A" w:themeColor="text2"/>
      <w:sz w:val="28"/>
      <w:szCs w:val="26"/>
    </w:rPr>
  </w:style>
  <w:style w:type="paragraph" w:styleId="Heading3">
    <w:name w:val="heading 3"/>
    <w:basedOn w:val="Normal"/>
    <w:next w:val="Normal"/>
    <w:link w:val="Heading3Char"/>
    <w:uiPriority w:val="9"/>
    <w:semiHidden/>
    <w:unhideWhenUsed/>
    <w:qFormat/>
    <w:pPr>
      <w:keepNext/>
      <w:keepLines/>
      <w:spacing w:before="317" w:after="317"/>
      <w:contextualSpacing/>
      <w:outlineLvl w:val="2"/>
    </w:pPr>
    <w:rPr>
      <w:rFonts w:asciiTheme="majorHAnsi" w:eastAsiaTheme="majorEastAsia" w:hAnsiTheme="majorHAnsi" w:cstheme="majorBidi"/>
      <w:b/>
      <w:color w:val="F75952" w:themeColor="accent1"/>
    </w:rPr>
  </w:style>
  <w:style w:type="paragraph" w:styleId="Heading4">
    <w:name w:val="heading 4"/>
    <w:basedOn w:val="Normal"/>
    <w:next w:val="Normal"/>
    <w:link w:val="Heading4Char"/>
    <w:uiPriority w:val="9"/>
    <w:unhideWhenUsed/>
    <w:qFormat/>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pPr>
      <w:keepNext/>
      <w:keepLines/>
      <w:spacing w:before="317" w:after="317"/>
      <w:contextualSpacing/>
      <w:outlineLvl w:val="6"/>
    </w:pPr>
    <w:rPr>
      <w:rFonts w:asciiTheme="majorHAnsi" w:eastAsiaTheme="majorEastAsia" w:hAnsiTheme="majorHAnsi" w:cstheme="majorBidi"/>
      <w:b/>
      <w:iCs/>
      <w:color w:val="F75952" w:themeColor="accent1"/>
      <w:sz w:val="20"/>
    </w:rPr>
  </w:style>
  <w:style w:type="paragraph" w:styleId="Heading8">
    <w:name w:val="heading 8"/>
    <w:basedOn w:val="Normal"/>
    <w:next w:val="Normal"/>
    <w:link w:val="Heading8Char"/>
    <w:uiPriority w:val="9"/>
    <w:semiHidden/>
    <w:unhideWhenUsed/>
    <w:qFormat/>
    <w:pPr>
      <w:keepNext/>
      <w:keepLines/>
      <w:spacing w:before="317" w:after="317"/>
      <w:contextualSpacing/>
      <w:outlineLvl w:val="7"/>
    </w:pPr>
    <w:rPr>
      <w:rFonts w:asciiTheme="majorHAnsi" w:eastAsiaTheme="majorEastAsia" w:hAnsiTheme="majorHAnsi" w:cstheme="majorBidi"/>
      <w:b/>
      <w:i/>
      <w:color w:val="2A2A2A" w:themeColor="text2"/>
      <w:sz w:val="20"/>
      <w:szCs w:val="21"/>
    </w:rPr>
  </w:style>
  <w:style w:type="paragraph" w:styleId="Heading9">
    <w:name w:val="heading 9"/>
    <w:basedOn w:val="Normal"/>
    <w:next w:val="Normal"/>
    <w:link w:val="Heading9Char"/>
    <w:uiPriority w:val="9"/>
    <w:semiHidden/>
    <w:unhideWhenUsed/>
    <w:qFormat/>
    <w:pPr>
      <w:keepNext/>
      <w:keepLines/>
      <w:spacing w:before="317" w:after="317"/>
      <w:contextualSpacing/>
      <w:outlineLvl w:val="8"/>
    </w:pPr>
    <w:rPr>
      <w:rFonts w:asciiTheme="majorHAnsi" w:eastAsiaTheme="majorEastAsia" w:hAnsiTheme="majorHAnsi" w:cstheme="majorBidi"/>
      <w:b/>
      <w:i/>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2A2A2A" w:themeColor="text2"/>
      <w:sz w:val="90"/>
      <w:szCs w:val="32"/>
    </w:rPr>
  </w:style>
  <w:style w:type="character" w:customStyle="1" w:styleId="Heading2Char">
    <w:name w:val="Heading 2 Char"/>
    <w:basedOn w:val="DefaultParagraphFont"/>
    <w:link w:val="Heading2"/>
    <w:uiPriority w:val="9"/>
    <w:rPr>
      <w:rFonts w:asciiTheme="majorHAnsi" w:hAnsiTheme="majorHAnsi" w:cstheme="majorBidi"/>
      <w:b/>
      <w:caps/>
      <w:color w:val="2A2A2A" w:themeColor="text2"/>
      <w:sz w:val="28"/>
      <w:szCs w:val="26"/>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10"/>
    <w:qFormat/>
    <w:pPr>
      <w:spacing w:before="320" w:after="320" w:line="264" w:lineRule="auto"/>
      <w:contextualSpacing/>
    </w:pPr>
    <w:rPr>
      <w:b/>
      <w:iCs/>
      <w:color w:val="F75952" w:themeColor="accent1"/>
      <w:sz w:val="54"/>
    </w:rPr>
  </w:style>
  <w:style w:type="character" w:customStyle="1" w:styleId="QuoteChar">
    <w:name w:val="Quote Char"/>
    <w:basedOn w:val="DefaultParagraphFont"/>
    <w:link w:val="Quote"/>
    <w:uiPriority w:val="10"/>
    <w:rPr>
      <w:b/>
      <w:iCs/>
      <w:color w:val="F75952" w:themeColor="accent1"/>
      <w:sz w:val="5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color w:val="F75952"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F75952"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2A2A2A" w:themeColor="text2"/>
      <w:sz w:val="20"/>
      <w:szCs w:val="21"/>
    </w:rPr>
  </w:style>
  <w:style w:type="paragraph" w:styleId="Index3">
    <w:name w:val="index 3"/>
    <w:basedOn w:val="Normal"/>
    <w:next w:val="Normal"/>
    <w:autoRedefine/>
    <w:uiPriority w:val="99"/>
    <w:semiHidden/>
    <w:unhideWhenUsed/>
    <w:pPr>
      <w:spacing w:before="317" w:after="317"/>
      <w:ind w:left="720" w:hanging="245"/>
      <w:contextualSpacing/>
    </w:pPr>
    <w:rPr>
      <w:b/>
      <w:color w:val="F75952" w:themeColor="accen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
      <w:iCs/>
      <w:sz w:val="20"/>
      <w:szCs w:val="21"/>
    </w:rPr>
  </w:style>
  <w:style w:type="character" w:styleId="Emphasis">
    <w:name w:val="Emphasis"/>
    <w:basedOn w:val="DefaultParagraphFont"/>
    <w:uiPriority w:val="20"/>
    <w:qFormat/>
    <w:rPr>
      <w:b w:val="0"/>
      <w:i w:val="0"/>
      <w:iCs/>
      <w:color w:val="F75952" w:themeColor="accent1"/>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rPr>
      <w:i/>
      <w:iCs/>
      <w:sz w:val="20"/>
      <w:szCs w:val="18"/>
    </w:rPr>
  </w:style>
  <w:style w:type="paragraph" w:styleId="TOCHeading">
    <w:name w:val="TOC Heading"/>
    <w:basedOn w:val="Heading1"/>
    <w:next w:val="Normal"/>
    <w:uiPriority w:val="38"/>
    <w:qFormat/>
    <w:pPr>
      <w:spacing w:after="1320"/>
      <w:outlineLvl w:val="9"/>
    </w:pPr>
  </w:style>
  <w:style w:type="paragraph" w:styleId="Footer">
    <w:name w:val="footer"/>
    <w:basedOn w:val="Normal"/>
    <w:link w:val="FooterChar"/>
    <w:uiPriority w:val="99"/>
    <w:unhideWhenUsed/>
    <w:qFormat/>
    <w:rPr>
      <w:b/>
      <w:color w:val="F75952" w:themeColor="accent1"/>
      <w:sz w:val="38"/>
      <w:szCs w:val="38"/>
    </w:rPr>
  </w:style>
  <w:style w:type="character" w:customStyle="1" w:styleId="FooterChar">
    <w:name w:val="Footer Char"/>
    <w:basedOn w:val="DefaultParagraphFont"/>
    <w:link w:val="Footer"/>
    <w:uiPriority w:val="99"/>
    <w:rPr>
      <w:b/>
      <w:color w:val="F75952" w:themeColor="accent1"/>
      <w:sz w:val="38"/>
      <w:szCs w:val="3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semiHidden/>
    <w:unhideWhenUsed/>
    <w:qFormat/>
    <w:rPr>
      <w:b/>
      <w:i/>
      <w:iCs/>
      <w:caps/>
      <w:smallCaps w:val="0"/>
      <w:color w:val="F75952" w:themeColor="accent1"/>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pPr>
      <w:spacing w:after="280"/>
      <w:contextualSpacing/>
    </w:pPr>
    <w:rPr>
      <w:rFonts w:asciiTheme="majorHAnsi" w:eastAsiaTheme="majorEastAsia" w:hAnsiTheme="majorHAnsi" w:cstheme="majorBidi"/>
      <w:b/>
      <w:caps/>
      <w:color w:val="2A2A2A" w:themeColor="text2"/>
      <w:kern w:val="28"/>
      <w:sz w:val="100"/>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2A2A2A" w:themeColor="text2"/>
      <w:kern w:val="28"/>
      <w:sz w:val="100"/>
      <w:szCs w:val="56"/>
    </w:rPr>
  </w:style>
  <w:style w:type="paragraph" w:styleId="Subtitle">
    <w:name w:val="Subtitle"/>
    <w:basedOn w:val="Normal"/>
    <w:next w:val="Author"/>
    <w:link w:val="SubtitleChar"/>
    <w:uiPriority w:val="2"/>
    <w:qFormat/>
    <w:pPr>
      <w:numPr>
        <w:ilvl w:val="1"/>
      </w:numPr>
      <w:spacing w:after="160"/>
    </w:pPr>
    <w:rPr>
      <w:rFonts w:asciiTheme="majorHAnsi" w:eastAsiaTheme="minorEastAsia" w:hAnsiTheme="majorHAnsi"/>
      <w:b/>
      <w:color w:val="F75952" w:themeColor="accent1"/>
      <w:sz w:val="50"/>
      <w:szCs w:val="22"/>
    </w:rPr>
  </w:style>
  <w:style w:type="character" w:customStyle="1" w:styleId="SubtitleChar">
    <w:name w:val="Subtitle Char"/>
    <w:basedOn w:val="DefaultParagraphFont"/>
    <w:link w:val="Subtitle"/>
    <w:uiPriority w:val="2"/>
    <w:rPr>
      <w:rFonts w:asciiTheme="majorHAnsi" w:eastAsiaTheme="minorEastAsia" w:hAnsiTheme="majorHAnsi"/>
      <w:b/>
      <w:color w:val="F75952" w:themeColor="accent1"/>
      <w:sz w:val="50"/>
      <w:szCs w:val="22"/>
    </w:rPr>
  </w:style>
  <w:style w:type="paragraph" w:styleId="TOC1">
    <w:name w:val="toc 1"/>
    <w:basedOn w:val="Normal"/>
    <w:next w:val="Normal"/>
    <w:autoRedefine/>
    <w:uiPriority w:val="39"/>
    <w:unhideWhenUsed/>
    <w:qFormat/>
    <w:rsid w:val="00FA2671"/>
    <w:pPr>
      <w:tabs>
        <w:tab w:val="right" w:leader="dot" w:pos="8630"/>
      </w:tabs>
      <w:spacing w:before="600" w:after="240" w:line="360" w:lineRule="auto"/>
      <w:contextualSpacing/>
    </w:pPr>
    <w:rPr>
      <w:rFonts w:ascii="Verdana" w:hAnsi="Verdana"/>
      <w:noProof/>
      <w:color w:val="5F5F5F" w:themeColor="text2" w:themeTint="BF"/>
      <w:sz w:val="26"/>
      <w:szCs w:val="26"/>
    </w:rPr>
  </w:style>
  <w:style w:type="paragraph" w:styleId="TOC2">
    <w:name w:val="toc 2"/>
    <w:basedOn w:val="Normal"/>
    <w:next w:val="Normal"/>
    <w:autoRedefine/>
    <w:uiPriority w:val="39"/>
    <w:unhideWhenUsed/>
    <w:qFormat/>
    <w:pPr>
      <w:tabs>
        <w:tab w:val="right" w:leader="dot" w:pos="8630"/>
      </w:tabs>
      <w:spacing w:before="120"/>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rPr>
      <w:b/>
      <w:color w:val="2A2A2A" w:themeColor="text2"/>
      <w:sz w:val="30"/>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ListNumber">
    <w:name w:val="List Number"/>
    <w:basedOn w:val="Normal"/>
    <w:uiPriority w:val="13"/>
    <w:qFormat/>
    <w:pPr>
      <w:numPr>
        <w:numId w:val="16"/>
      </w:numPr>
    </w:pPr>
    <w:rPr>
      <w:i/>
    </w:rPr>
  </w:style>
  <w:style w:type="paragraph" w:styleId="FootnoteText">
    <w:name w:val="footnote text"/>
    <w:basedOn w:val="Normal"/>
    <w:link w:val="FootnoteTextChar"/>
    <w:uiPriority w:val="99"/>
    <w:semiHidden/>
    <w:unhideWhenUsed/>
    <w:rsid w:val="00386357"/>
    <w:rPr>
      <w:sz w:val="20"/>
      <w:szCs w:val="20"/>
    </w:rPr>
  </w:style>
  <w:style w:type="character" w:customStyle="1" w:styleId="FootnoteTextChar">
    <w:name w:val="Footnote Text Char"/>
    <w:basedOn w:val="DefaultParagraphFont"/>
    <w:link w:val="FootnoteText"/>
    <w:uiPriority w:val="99"/>
    <w:semiHidden/>
    <w:rsid w:val="00386357"/>
    <w:rPr>
      <w:color w:val="auto"/>
      <w:sz w:val="20"/>
      <w:szCs w:val="20"/>
      <w:lang w:eastAsia="en-US"/>
    </w:rPr>
  </w:style>
  <w:style w:type="character" w:styleId="FootnoteReference">
    <w:name w:val="footnote reference"/>
    <w:basedOn w:val="DefaultParagraphFont"/>
    <w:uiPriority w:val="99"/>
    <w:semiHidden/>
    <w:unhideWhenUsed/>
    <w:rsid w:val="00386357"/>
    <w:rPr>
      <w:vertAlign w:val="superscript"/>
    </w:rPr>
  </w:style>
  <w:style w:type="character" w:styleId="Hyperlink">
    <w:name w:val="Hyperlink"/>
    <w:basedOn w:val="DefaultParagraphFont"/>
    <w:uiPriority w:val="99"/>
    <w:unhideWhenUsed/>
    <w:rsid w:val="00386357"/>
    <w:rPr>
      <w:color w:val="B67AC3" w:themeColor="hyperlink"/>
      <w:u w:val="single"/>
    </w:rPr>
  </w:style>
  <w:style w:type="character" w:styleId="UnresolvedMention">
    <w:name w:val="Unresolved Mention"/>
    <w:basedOn w:val="DefaultParagraphFont"/>
    <w:uiPriority w:val="99"/>
    <w:semiHidden/>
    <w:unhideWhenUsed/>
    <w:rsid w:val="00386357"/>
    <w:rPr>
      <w:color w:val="605E5C"/>
      <w:shd w:val="clear" w:color="auto" w:fill="E1DFDD"/>
    </w:rPr>
  </w:style>
  <w:style w:type="character" w:styleId="FollowedHyperlink">
    <w:name w:val="FollowedHyperlink"/>
    <w:basedOn w:val="DefaultParagraphFont"/>
    <w:uiPriority w:val="99"/>
    <w:semiHidden/>
    <w:unhideWhenUsed/>
    <w:rsid w:val="000C3C2B"/>
    <w:rPr>
      <w:color w:val="6AC7C9" w:themeColor="followedHyperlink"/>
      <w:u w:val="single"/>
    </w:rPr>
  </w:style>
  <w:style w:type="character" w:styleId="PageNumber">
    <w:name w:val="page number"/>
    <w:basedOn w:val="DefaultParagraphFont"/>
    <w:uiPriority w:val="99"/>
    <w:semiHidden/>
    <w:unhideWhenUsed/>
    <w:rsid w:val="00410136"/>
  </w:style>
  <w:style w:type="paragraph" w:styleId="NormalWeb">
    <w:name w:val="Normal (Web)"/>
    <w:basedOn w:val="Normal"/>
    <w:uiPriority w:val="99"/>
    <w:unhideWhenUsed/>
    <w:rsid w:val="00ED04F4"/>
    <w:pPr>
      <w:spacing w:before="100" w:beforeAutospacing="1" w:after="100" w:afterAutospacing="1"/>
    </w:pPr>
  </w:style>
  <w:style w:type="character" w:styleId="CommentReference">
    <w:name w:val="annotation reference"/>
    <w:basedOn w:val="DefaultParagraphFont"/>
    <w:uiPriority w:val="99"/>
    <w:semiHidden/>
    <w:unhideWhenUsed/>
    <w:rsid w:val="00FA2671"/>
    <w:rPr>
      <w:sz w:val="16"/>
      <w:szCs w:val="16"/>
    </w:rPr>
  </w:style>
  <w:style w:type="paragraph" w:styleId="CommentText">
    <w:name w:val="annotation text"/>
    <w:basedOn w:val="Normal"/>
    <w:link w:val="CommentTextChar"/>
    <w:uiPriority w:val="99"/>
    <w:unhideWhenUsed/>
    <w:rsid w:val="00FA2671"/>
    <w:rPr>
      <w:sz w:val="20"/>
      <w:szCs w:val="20"/>
    </w:rPr>
  </w:style>
  <w:style w:type="character" w:customStyle="1" w:styleId="CommentTextChar">
    <w:name w:val="Comment Text Char"/>
    <w:basedOn w:val="DefaultParagraphFont"/>
    <w:link w:val="CommentText"/>
    <w:uiPriority w:val="99"/>
    <w:rsid w:val="00FA2671"/>
    <w:rPr>
      <w:rFonts w:ascii="Times New Roman" w:eastAsia="Times New Roman" w:hAnsi="Times New Roman"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FA2671"/>
    <w:rPr>
      <w:b/>
      <w:bCs/>
    </w:rPr>
  </w:style>
  <w:style w:type="character" w:customStyle="1" w:styleId="CommentSubjectChar">
    <w:name w:val="Comment Subject Char"/>
    <w:basedOn w:val="CommentTextChar"/>
    <w:link w:val="CommentSubject"/>
    <w:uiPriority w:val="99"/>
    <w:semiHidden/>
    <w:rsid w:val="00FA2671"/>
    <w:rPr>
      <w:rFonts w:ascii="Times New Roman" w:eastAsia="Times New Roman" w:hAnsi="Times New Roman" w:cs="Times New Roman"/>
      <w:b/>
      <w:bCs/>
      <w:color w:val="auto"/>
      <w:sz w:val="20"/>
      <w:szCs w:val="20"/>
      <w:lang w:eastAsia="en-US"/>
    </w:rPr>
  </w:style>
  <w:style w:type="paragraph" w:customStyle="1" w:styleId="EndNoteBibliographyTitle">
    <w:name w:val="EndNote Bibliography Title"/>
    <w:basedOn w:val="Normal"/>
    <w:link w:val="EndNoteBibliographyTitleChar"/>
    <w:rsid w:val="00E619D1"/>
    <w:pPr>
      <w:jc w:val="center"/>
    </w:pPr>
    <w:rPr>
      <w:noProof/>
    </w:rPr>
  </w:style>
  <w:style w:type="character" w:customStyle="1" w:styleId="EndNoteBibliographyTitleChar">
    <w:name w:val="EndNote Bibliography Title Char"/>
    <w:basedOn w:val="DefaultParagraphFont"/>
    <w:link w:val="EndNoteBibliographyTitle"/>
    <w:rsid w:val="00E619D1"/>
    <w:rPr>
      <w:rFonts w:ascii="Times New Roman" w:eastAsia="Times New Roman" w:hAnsi="Times New Roman" w:cs="Times New Roman"/>
      <w:noProof/>
      <w:color w:val="auto"/>
      <w:lang w:eastAsia="en-US"/>
    </w:rPr>
  </w:style>
  <w:style w:type="paragraph" w:customStyle="1" w:styleId="EndNoteBibliography">
    <w:name w:val="EndNote Bibliography"/>
    <w:basedOn w:val="Normal"/>
    <w:link w:val="EndNoteBibliographyChar"/>
    <w:rsid w:val="00E619D1"/>
    <w:rPr>
      <w:noProof/>
    </w:rPr>
  </w:style>
  <w:style w:type="character" w:customStyle="1" w:styleId="EndNoteBibliographyChar">
    <w:name w:val="EndNote Bibliography Char"/>
    <w:basedOn w:val="DefaultParagraphFont"/>
    <w:link w:val="EndNoteBibliography"/>
    <w:rsid w:val="00E619D1"/>
    <w:rPr>
      <w:rFonts w:ascii="Times New Roman" w:eastAsia="Times New Roman" w:hAnsi="Times New Roman" w:cs="Times New Roman"/>
      <w:noProof/>
      <w:color w:val="auto"/>
      <w:lang w:eastAsia="en-US"/>
    </w:rPr>
  </w:style>
  <w:style w:type="paragraph" w:customStyle="1" w:styleId="H1">
    <w:name w:val="H1"/>
    <w:basedOn w:val="Author"/>
    <w:qFormat/>
    <w:rsid w:val="00EC7A16"/>
    <w:pPr>
      <w:contextualSpacing/>
    </w:pPr>
    <w:rPr>
      <w:rFonts w:asciiTheme="majorHAnsi" w:eastAsiaTheme="minorEastAsia" w:hAnsiTheme="majorHAnsi"/>
      <w:bCs/>
      <w:color w:val="25487C"/>
      <w:szCs w:val="30"/>
    </w:rPr>
  </w:style>
  <w:style w:type="paragraph" w:customStyle="1" w:styleId="H2">
    <w:name w:val="H2"/>
    <w:basedOn w:val="Author"/>
    <w:qFormat/>
    <w:rsid w:val="00FB3050"/>
    <w:pPr>
      <w:contextualSpacing/>
    </w:pPr>
    <w:rPr>
      <w:rFonts w:ascii="Verdana" w:hAnsi="Verdana"/>
      <w:bCs/>
      <w:color w:val="5F5F5F" w:themeColor="text2" w:themeTint="BF"/>
      <w:sz w:val="28"/>
      <w:szCs w:val="28"/>
    </w:rPr>
  </w:style>
  <w:style w:type="paragraph" w:styleId="Bibliography">
    <w:name w:val="Bibliography"/>
    <w:basedOn w:val="Normal"/>
    <w:next w:val="Normal"/>
    <w:uiPriority w:val="37"/>
    <w:unhideWhenUsed/>
    <w:rsid w:val="007603A0"/>
    <w:pPr>
      <w:spacing w:line="480" w:lineRule="auto"/>
      <w:ind w:left="720" w:hanging="720"/>
    </w:pPr>
  </w:style>
  <w:style w:type="paragraph" w:styleId="Revision">
    <w:name w:val="Revision"/>
    <w:hidden/>
    <w:uiPriority w:val="99"/>
    <w:semiHidden/>
    <w:rsid w:val="00F75A6E"/>
    <w:pPr>
      <w:spacing w:after="0" w:line="240" w:lineRule="auto"/>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29">
      <w:bodyDiv w:val="1"/>
      <w:marLeft w:val="0"/>
      <w:marRight w:val="0"/>
      <w:marTop w:val="0"/>
      <w:marBottom w:val="0"/>
      <w:divBdr>
        <w:top w:val="none" w:sz="0" w:space="0" w:color="auto"/>
        <w:left w:val="none" w:sz="0" w:space="0" w:color="auto"/>
        <w:bottom w:val="none" w:sz="0" w:space="0" w:color="auto"/>
        <w:right w:val="none" w:sz="0" w:space="0" w:color="auto"/>
      </w:divBdr>
      <w:divsChild>
        <w:div w:id="1106274588">
          <w:marLeft w:val="0"/>
          <w:marRight w:val="0"/>
          <w:marTop w:val="0"/>
          <w:marBottom w:val="0"/>
          <w:divBdr>
            <w:top w:val="none" w:sz="0" w:space="0" w:color="auto"/>
            <w:left w:val="none" w:sz="0" w:space="0" w:color="auto"/>
            <w:bottom w:val="none" w:sz="0" w:space="0" w:color="auto"/>
            <w:right w:val="none" w:sz="0" w:space="0" w:color="auto"/>
          </w:divBdr>
          <w:divsChild>
            <w:div w:id="445660239">
              <w:marLeft w:val="0"/>
              <w:marRight w:val="0"/>
              <w:marTop w:val="0"/>
              <w:marBottom w:val="0"/>
              <w:divBdr>
                <w:top w:val="none" w:sz="0" w:space="0" w:color="auto"/>
                <w:left w:val="none" w:sz="0" w:space="0" w:color="auto"/>
                <w:bottom w:val="none" w:sz="0" w:space="0" w:color="auto"/>
                <w:right w:val="none" w:sz="0" w:space="0" w:color="auto"/>
              </w:divBdr>
              <w:divsChild>
                <w:div w:id="1502965712">
                  <w:marLeft w:val="0"/>
                  <w:marRight w:val="0"/>
                  <w:marTop w:val="0"/>
                  <w:marBottom w:val="0"/>
                  <w:divBdr>
                    <w:top w:val="none" w:sz="0" w:space="0" w:color="auto"/>
                    <w:left w:val="none" w:sz="0" w:space="0" w:color="auto"/>
                    <w:bottom w:val="none" w:sz="0" w:space="0" w:color="auto"/>
                    <w:right w:val="none" w:sz="0" w:space="0" w:color="auto"/>
                  </w:divBdr>
                  <w:divsChild>
                    <w:div w:id="103426533">
                      <w:marLeft w:val="0"/>
                      <w:marRight w:val="0"/>
                      <w:marTop w:val="0"/>
                      <w:marBottom w:val="0"/>
                      <w:divBdr>
                        <w:top w:val="none" w:sz="0" w:space="0" w:color="auto"/>
                        <w:left w:val="none" w:sz="0" w:space="0" w:color="auto"/>
                        <w:bottom w:val="none" w:sz="0" w:space="0" w:color="auto"/>
                        <w:right w:val="none" w:sz="0" w:space="0" w:color="auto"/>
                      </w:divBdr>
                      <w:divsChild>
                        <w:div w:id="842203997">
                          <w:marLeft w:val="0"/>
                          <w:marRight w:val="0"/>
                          <w:marTop w:val="0"/>
                          <w:marBottom w:val="0"/>
                          <w:divBdr>
                            <w:top w:val="none" w:sz="0" w:space="0" w:color="auto"/>
                            <w:left w:val="none" w:sz="0" w:space="0" w:color="auto"/>
                            <w:bottom w:val="none" w:sz="0" w:space="0" w:color="auto"/>
                            <w:right w:val="none" w:sz="0" w:space="0" w:color="auto"/>
                          </w:divBdr>
                          <w:divsChild>
                            <w:div w:id="2104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3621">
      <w:bodyDiv w:val="1"/>
      <w:marLeft w:val="0"/>
      <w:marRight w:val="0"/>
      <w:marTop w:val="0"/>
      <w:marBottom w:val="0"/>
      <w:divBdr>
        <w:top w:val="none" w:sz="0" w:space="0" w:color="auto"/>
        <w:left w:val="none" w:sz="0" w:space="0" w:color="auto"/>
        <w:bottom w:val="none" w:sz="0" w:space="0" w:color="auto"/>
        <w:right w:val="none" w:sz="0" w:space="0" w:color="auto"/>
      </w:divBdr>
      <w:divsChild>
        <w:div w:id="2084404706">
          <w:marLeft w:val="0"/>
          <w:marRight w:val="0"/>
          <w:marTop w:val="0"/>
          <w:marBottom w:val="0"/>
          <w:divBdr>
            <w:top w:val="none" w:sz="0" w:space="0" w:color="auto"/>
            <w:left w:val="none" w:sz="0" w:space="0" w:color="auto"/>
            <w:bottom w:val="none" w:sz="0" w:space="0" w:color="auto"/>
            <w:right w:val="none" w:sz="0" w:space="0" w:color="auto"/>
          </w:divBdr>
          <w:divsChild>
            <w:div w:id="14315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2910">
      <w:bodyDiv w:val="1"/>
      <w:marLeft w:val="0"/>
      <w:marRight w:val="0"/>
      <w:marTop w:val="0"/>
      <w:marBottom w:val="0"/>
      <w:divBdr>
        <w:top w:val="none" w:sz="0" w:space="0" w:color="auto"/>
        <w:left w:val="none" w:sz="0" w:space="0" w:color="auto"/>
        <w:bottom w:val="none" w:sz="0" w:space="0" w:color="auto"/>
        <w:right w:val="none" w:sz="0" w:space="0" w:color="auto"/>
      </w:divBdr>
    </w:div>
    <w:div w:id="133568749">
      <w:bodyDiv w:val="1"/>
      <w:marLeft w:val="0"/>
      <w:marRight w:val="0"/>
      <w:marTop w:val="0"/>
      <w:marBottom w:val="0"/>
      <w:divBdr>
        <w:top w:val="none" w:sz="0" w:space="0" w:color="auto"/>
        <w:left w:val="none" w:sz="0" w:space="0" w:color="auto"/>
        <w:bottom w:val="none" w:sz="0" w:space="0" w:color="auto"/>
        <w:right w:val="none" w:sz="0" w:space="0" w:color="auto"/>
      </w:divBdr>
      <w:divsChild>
        <w:div w:id="1457599972">
          <w:marLeft w:val="0"/>
          <w:marRight w:val="0"/>
          <w:marTop w:val="0"/>
          <w:marBottom w:val="0"/>
          <w:divBdr>
            <w:top w:val="none" w:sz="0" w:space="0" w:color="auto"/>
            <w:left w:val="none" w:sz="0" w:space="0" w:color="auto"/>
            <w:bottom w:val="none" w:sz="0" w:space="0" w:color="auto"/>
            <w:right w:val="none" w:sz="0" w:space="0" w:color="auto"/>
          </w:divBdr>
          <w:divsChild>
            <w:div w:id="679047852">
              <w:marLeft w:val="0"/>
              <w:marRight w:val="0"/>
              <w:marTop w:val="0"/>
              <w:marBottom w:val="0"/>
              <w:divBdr>
                <w:top w:val="none" w:sz="0" w:space="0" w:color="auto"/>
                <w:left w:val="none" w:sz="0" w:space="0" w:color="auto"/>
                <w:bottom w:val="none" w:sz="0" w:space="0" w:color="auto"/>
                <w:right w:val="none" w:sz="0" w:space="0" w:color="auto"/>
              </w:divBdr>
              <w:divsChild>
                <w:div w:id="729379555">
                  <w:marLeft w:val="0"/>
                  <w:marRight w:val="0"/>
                  <w:marTop w:val="0"/>
                  <w:marBottom w:val="0"/>
                  <w:divBdr>
                    <w:top w:val="none" w:sz="0" w:space="0" w:color="auto"/>
                    <w:left w:val="none" w:sz="0" w:space="0" w:color="auto"/>
                    <w:bottom w:val="none" w:sz="0" w:space="0" w:color="auto"/>
                    <w:right w:val="none" w:sz="0" w:space="0" w:color="auto"/>
                  </w:divBdr>
                  <w:divsChild>
                    <w:div w:id="13944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9053">
      <w:bodyDiv w:val="1"/>
      <w:marLeft w:val="0"/>
      <w:marRight w:val="0"/>
      <w:marTop w:val="0"/>
      <w:marBottom w:val="0"/>
      <w:divBdr>
        <w:top w:val="none" w:sz="0" w:space="0" w:color="auto"/>
        <w:left w:val="none" w:sz="0" w:space="0" w:color="auto"/>
        <w:bottom w:val="none" w:sz="0" w:space="0" w:color="auto"/>
        <w:right w:val="none" w:sz="0" w:space="0" w:color="auto"/>
      </w:divBdr>
    </w:div>
    <w:div w:id="195972369">
      <w:bodyDiv w:val="1"/>
      <w:marLeft w:val="0"/>
      <w:marRight w:val="0"/>
      <w:marTop w:val="0"/>
      <w:marBottom w:val="0"/>
      <w:divBdr>
        <w:top w:val="none" w:sz="0" w:space="0" w:color="auto"/>
        <w:left w:val="none" w:sz="0" w:space="0" w:color="auto"/>
        <w:bottom w:val="none" w:sz="0" w:space="0" w:color="auto"/>
        <w:right w:val="none" w:sz="0" w:space="0" w:color="auto"/>
      </w:divBdr>
      <w:divsChild>
        <w:div w:id="913393869">
          <w:marLeft w:val="0"/>
          <w:marRight w:val="0"/>
          <w:marTop w:val="0"/>
          <w:marBottom w:val="0"/>
          <w:divBdr>
            <w:top w:val="none" w:sz="0" w:space="0" w:color="auto"/>
            <w:left w:val="none" w:sz="0" w:space="0" w:color="auto"/>
            <w:bottom w:val="none" w:sz="0" w:space="0" w:color="auto"/>
            <w:right w:val="none" w:sz="0" w:space="0" w:color="auto"/>
          </w:divBdr>
          <w:divsChild>
            <w:div w:id="776876697">
              <w:marLeft w:val="0"/>
              <w:marRight w:val="0"/>
              <w:marTop w:val="0"/>
              <w:marBottom w:val="0"/>
              <w:divBdr>
                <w:top w:val="none" w:sz="0" w:space="0" w:color="auto"/>
                <w:left w:val="none" w:sz="0" w:space="0" w:color="auto"/>
                <w:bottom w:val="none" w:sz="0" w:space="0" w:color="auto"/>
                <w:right w:val="none" w:sz="0" w:space="0" w:color="auto"/>
              </w:divBdr>
              <w:divsChild>
                <w:div w:id="2702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2849">
      <w:bodyDiv w:val="1"/>
      <w:marLeft w:val="0"/>
      <w:marRight w:val="0"/>
      <w:marTop w:val="0"/>
      <w:marBottom w:val="0"/>
      <w:divBdr>
        <w:top w:val="none" w:sz="0" w:space="0" w:color="auto"/>
        <w:left w:val="none" w:sz="0" w:space="0" w:color="auto"/>
        <w:bottom w:val="none" w:sz="0" w:space="0" w:color="auto"/>
        <w:right w:val="none" w:sz="0" w:space="0" w:color="auto"/>
      </w:divBdr>
    </w:div>
    <w:div w:id="287980708">
      <w:bodyDiv w:val="1"/>
      <w:marLeft w:val="0"/>
      <w:marRight w:val="0"/>
      <w:marTop w:val="0"/>
      <w:marBottom w:val="0"/>
      <w:divBdr>
        <w:top w:val="none" w:sz="0" w:space="0" w:color="auto"/>
        <w:left w:val="none" w:sz="0" w:space="0" w:color="auto"/>
        <w:bottom w:val="none" w:sz="0" w:space="0" w:color="auto"/>
        <w:right w:val="none" w:sz="0" w:space="0" w:color="auto"/>
      </w:divBdr>
    </w:div>
    <w:div w:id="328482008">
      <w:bodyDiv w:val="1"/>
      <w:marLeft w:val="0"/>
      <w:marRight w:val="0"/>
      <w:marTop w:val="0"/>
      <w:marBottom w:val="0"/>
      <w:divBdr>
        <w:top w:val="none" w:sz="0" w:space="0" w:color="auto"/>
        <w:left w:val="none" w:sz="0" w:space="0" w:color="auto"/>
        <w:bottom w:val="none" w:sz="0" w:space="0" w:color="auto"/>
        <w:right w:val="none" w:sz="0" w:space="0" w:color="auto"/>
      </w:divBdr>
    </w:div>
    <w:div w:id="334579781">
      <w:bodyDiv w:val="1"/>
      <w:marLeft w:val="0"/>
      <w:marRight w:val="0"/>
      <w:marTop w:val="0"/>
      <w:marBottom w:val="0"/>
      <w:divBdr>
        <w:top w:val="none" w:sz="0" w:space="0" w:color="auto"/>
        <w:left w:val="none" w:sz="0" w:space="0" w:color="auto"/>
        <w:bottom w:val="none" w:sz="0" w:space="0" w:color="auto"/>
        <w:right w:val="none" w:sz="0" w:space="0" w:color="auto"/>
      </w:divBdr>
    </w:div>
    <w:div w:id="364257514">
      <w:bodyDiv w:val="1"/>
      <w:marLeft w:val="0"/>
      <w:marRight w:val="0"/>
      <w:marTop w:val="0"/>
      <w:marBottom w:val="0"/>
      <w:divBdr>
        <w:top w:val="none" w:sz="0" w:space="0" w:color="auto"/>
        <w:left w:val="none" w:sz="0" w:space="0" w:color="auto"/>
        <w:bottom w:val="none" w:sz="0" w:space="0" w:color="auto"/>
        <w:right w:val="none" w:sz="0" w:space="0" w:color="auto"/>
      </w:divBdr>
    </w:div>
    <w:div w:id="406535503">
      <w:bodyDiv w:val="1"/>
      <w:marLeft w:val="0"/>
      <w:marRight w:val="0"/>
      <w:marTop w:val="0"/>
      <w:marBottom w:val="0"/>
      <w:divBdr>
        <w:top w:val="none" w:sz="0" w:space="0" w:color="auto"/>
        <w:left w:val="none" w:sz="0" w:space="0" w:color="auto"/>
        <w:bottom w:val="none" w:sz="0" w:space="0" w:color="auto"/>
        <w:right w:val="none" w:sz="0" w:space="0" w:color="auto"/>
      </w:divBdr>
      <w:divsChild>
        <w:div w:id="268973719">
          <w:marLeft w:val="0"/>
          <w:marRight w:val="0"/>
          <w:marTop w:val="0"/>
          <w:marBottom w:val="0"/>
          <w:divBdr>
            <w:top w:val="none" w:sz="0" w:space="0" w:color="auto"/>
            <w:left w:val="none" w:sz="0" w:space="0" w:color="auto"/>
            <w:bottom w:val="none" w:sz="0" w:space="0" w:color="auto"/>
            <w:right w:val="none" w:sz="0" w:space="0" w:color="auto"/>
          </w:divBdr>
          <w:divsChild>
            <w:div w:id="8342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1319">
      <w:bodyDiv w:val="1"/>
      <w:marLeft w:val="0"/>
      <w:marRight w:val="0"/>
      <w:marTop w:val="0"/>
      <w:marBottom w:val="0"/>
      <w:divBdr>
        <w:top w:val="none" w:sz="0" w:space="0" w:color="auto"/>
        <w:left w:val="none" w:sz="0" w:space="0" w:color="auto"/>
        <w:bottom w:val="none" w:sz="0" w:space="0" w:color="auto"/>
        <w:right w:val="none" w:sz="0" w:space="0" w:color="auto"/>
      </w:divBdr>
    </w:div>
    <w:div w:id="433985297">
      <w:bodyDiv w:val="1"/>
      <w:marLeft w:val="0"/>
      <w:marRight w:val="0"/>
      <w:marTop w:val="0"/>
      <w:marBottom w:val="0"/>
      <w:divBdr>
        <w:top w:val="none" w:sz="0" w:space="0" w:color="auto"/>
        <w:left w:val="none" w:sz="0" w:space="0" w:color="auto"/>
        <w:bottom w:val="none" w:sz="0" w:space="0" w:color="auto"/>
        <w:right w:val="none" w:sz="0" w:space="0" w:color="auto"/>
      </w:divBdr>
    </w:div>
    <w:div w:id="462428236">
      <w:bodyDiv w:val="1"/>
      <w:marLeft w:val="0"/>
      <w:marRight w:val="0"/>
      <w:marTop w:val="0"/>
      <w:marBottom w:val="0"/>
      <w:divBdr>
        <w:top w:val="none" w:sz="0" w:space="0" w:color="auto"/>
        <w:left w:val="none" w:sz="0" w:space="0" w:color="auto"/>
        <w:bottom w:val="none" w:sz="0" w:space="0" w:color="auto"/>
        <w:right w:val="none" w:sz="0" w:space="0" w:color="auto"/>
      </w:divBdr>
    </w:div>
    <w:div w:id="534849941">
      <w:bodyDiv w:val="1"/>
      <w:marLeft w:val="0"/>
      <w:marRight w:val="0"/>
      <w:marTop w:val="0"/>
      <w:marBottom w:val="0"/>
      <w:divBdr>
        <w:top w:val="none" w:sz="0" w:space="0" w:color="auto"/>
        <w:left w:val="none" w:sz="0" w:space="0" w:color="auto"/>
        <w:bottom w:val="none" w:sz="0" w:space="0" w:color="auto"/>
        <w:right w:val="none" w:sz="0" w:space="0" w:color="auto"/>
      </w:divBdr>
    </w:div>
    <w:div w:id="559748246">
      <w:bodyDiv w:val="1"/>
      <w:marLeft w:val="0"/>
      <w:marRight w:val="0"/>
      <w:marTop w:val="0"/>
      <w:marBottom w:val="0"/>
      <w:divBdr>
        <w:top w:val="none" w:sz="0" w:space="0" w:color="auto"/>
        <w:left w:val="none" w:sz="0" w:space="0" w:color="auto"/>
        <w:bottom w:val="none" w:sz="0" w:space="0" w:color="auto"/>
        <w:right w:val="none" w:sz="0" w:space="0" w:color="auto"/>
      </w:divBdr>
    </w:div>
    <w:div w:id="614403629">
      <w:bodyDiv w:val="1"/>
      <w:marLeft w:val="0"/>
      <w:marRight w:val="0"/>
      <w:marTop w:val="0"/>
      <w:marBottom w:val="0"/>
      <w:divBdr>
        <w:top w:val="none" w:sz="0" w:space="0" w:color="auto"/>
        <w:left w:val="none" w:sz="0" w:space="0" w:color="auto"/>
        <w:bottom w:val="none" w:sz="0" w:space="0" w:color="auto"/>
        <w:right w:val="none" w:sz="0" w:space="0" w:color="auto"/>
      </w:divBdr>
    </w:div>
    <w:div w:id="696082574">
      <w:bodyDiv w:val="1"/>
      <w:marLeft w:val="0"/>
      <w:marRight w:val="0"/>
      <w:marTop w:val="0"/>
      <w:marBottom w:val="0"/>
      <w:divBdr>
        <w:top w:val="none" w:sz="0" w:space="0" w:color="auto"/>
        <w:left w:val="none" w:sz="0" w:space="0" w:color="auto"/>
        <w:bottom w:val="none" w:sz="0" w:space="0" w:color="auto"/>
        <w:right w:val="none" w:sz="0" w:space="0" w:color="auto"/>
      </w:divBdr>
      <w:divsChild>
        <w:div w:id="463889476">
          <w:marLeft w:val="0"/>
          <w:marRight w:val="0"/>
          <w:marTop w:val="0"/>
          <w:marBottom w:val="0"/>
          <w:divBdr>
            <w:top w:val="none" w:sz="0" w:space="0" w:color="auto"/>
            <w:left w:val="none" w:sz="0" w:space="0" w:color="auto"/>
            <w:bottom w:val="none" w:sz="0" w:space="0" w:color="auto"/>
            <w:right w:val="none" w:sz="0" w:space="0" w:color="auto"/>
          </w:divBdr>
          <w:divsChild>
            <w:div w:id="958028233">
              <w:marLeft w:val="0"/>
              <w:marRight w:val="0"/>
              <w:marTop w:val="0"/>
              <w:marBottom w:val="0"/>
              <w:divBdr>
                <w:top w:val="none" w:sz="0" w:space="0" w:color="auto"/>
                <w:left w:val="none" w:sz="0" w:space="0" w:color="auto"/>
                <w:bottom w:val="none" w:sz="0" w:space="0" w:color="auto"/>
                <w:right w:val="none" w:sz="0" w:space="0" w:color="auto"/>
              </w:divBdr>
            </w:div>
          </w:divsChild>
        </w:div>
        <w:div w:id="706680988">
          <w:marLeft w:val="0"/>
          <w:marRight w:val="0"/>
          <w:marTop w:val="0"/>
          <w:marBottom w:val="0"/>
          <w:divBdr>
            <w:top w:val="none" w:sz="0" w:space="0" w:color="auto"/>
            <w:left w:val="none" w:sz="0" w:space="0" w:color="auto"/>
            <w:bottom w:val="none" w:sz="0" w:space="0" w:color="auto"/>
            <w:right w:val="none" w:sz="0" w:space="0" w:color="auto"/>
          </w:divBdr>
          <w:divsChild>
            <w:div w:id="1172063848">
              <w:marLeft w:val="0"/>
              <w:marRight w:val="0"/>
              <w:marTop w:val="0"/>
              <w:marBottom w:val="0"/>
              <w:divBdr>
                <w:top w:val="none" w:sz="0" w:space="0" w:color="auto"/>
                <w:left w:val="none" w:sz="0" w:space="0" w:color="auto"/>
                <w:bottom w:val="none" w:sz="0" w:space="0" w:color="auto"/>
                <w:right w:val="none" w:sz="0" w:space="0" w:color="auto"/>
              </w:divBdr>
              <w:divsChild>
                <w:div w:id="648898612">
                  <w:marLeft w:val="0"/>
                  <w:marRight w:val="0"/>
                  <w:marTop w:val="0"/>
                  <w:marBottom w:val="0"/>
                  <w:divBdr>
                    <w:top w:val="none" w:sz="0" w:space="0" w:color="auto"/>
                    <w:left w:val="none" w:sz="0" w:space="0" w:color="auto"/>
                    <w:bottom w:val="none" w:sz="0" w:space="0" w:color="auto"/>
                    <w:right w:val="none" w:sz="0" w:space="0" w:color="auto"/>
                  </w:divBdr>
                  <w:divsChild>
                    <w:div w:id="527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49638">
      <w:bodyDiv w:val="1"/>
      <w:marLeft w:val="0"/>
      <w:marRight w:val="0"/>
      <w:marTop w:val="0"/>
      <w:marBottom w:val="0"/>
      <w:divBdr>
        <w:top w:val="none" w:sz="0" w:space="0" w:color="auto"/>
        <w:left w:val="none" w:sz="0" w:space="0" w:color="auto"/>
        <w:bottom w:val="none" w:sz="0" w:space="0" w:color="auto"/>
        <w:right w:val="none" w:sz="0" w:space="0" w:color="auto"/>
      </w:divBdr>
    </w:div>
    <w:div w:id="849029983">
      <w:bodyDiv w:val="1"/>
      <w:marLeft w:val="0"/>
      <w:marRight w:val="0"/>
      <w:marTop w:val="0"/>
      <w:marBottom w:val="0"/>
      <w:divBdr>
        <w:top w:val="none" w:sz="0" w:space="0" w:color="auto"/>
        <w:left w:val="none" w:sz="0" w:space="0" w:color="auto"/>
        <w:bottom w:val="none" w:sz="0" w:space="0" w:color="auto"/>
        <w:right w:val="none" w:sz="0" w:space="0" w:color="auto"/>
      </w:divBdr>
      <w:divsChild>
        <w:div w:id="1335495253">
          <w:marLeft w:val="0"/>
          <w:marRight w:val="0"/>
          <w:marTop w:val="0"/>
          <w:marBottom w:val="0"/>
          <w:divBdr>
            <w:top w:val="none" w:sz="0" w:space="0" w:color="auto"/>
            <w:left w:val="none" w:sz="0" w:space="0" w:color="auto"/>
            <w:bottom w:val="none" w:sz="0" w:space="0" w:color="auto"/>
            <w:right w:val="none" w:sz="0" w:space="0" w:color="auto"/>
          </w:divBdr>
          <w:divsChild>
            <w:div w:id="20234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6752">
      <w:bodyDiv w:val="1"/>
      <w:marLeft w:val="0"/>
      <w:marRight w:val="0"/>
      <w:marTop w:val="0"/>
      <w:marBottom w:val="0"/>
      <w:divBdr>
        <w:top w:val="none" w:sz="0" w:space="0" w:color="auto"/>
        <w:left w:val="none" w:sz="0" w:space="0" w:color="auto"/>
        <w:bottom w:val="none" w:sz="0" w:space="0" w:color="auto"/>
        <w:right w:val="none" w:sz="0" w:space="0" w:color="auto"/>
      </w:divBdr>
    </w:div>
    <w:div w:id="979992524">
      <w:bodyDiv w:val="1"/>
      <w:marLeft w:val="0"/>
      <w:marRight w:val="0"/>
      <w:marTop w:val="0"/>
      <w:marBottom w:val="0"/>
      <w:divBdr>
        <w:top w:val="none" w:sz="0" w:space="0" w:color="auto"/>
        <w:left w:val="none" w:sz="0" w:space="0" w:color="auto"/>
        <w:bottom w:val="none" w:sz="0" w:space="0" w:color="auto"/>
        <w:right w:val="none" w:sz="0" w:space="0" w:color="auto"/>
      </w:divBdr>
    </w:div>
    <w:div w:id="1112747475">
      <w:bodyDiv w:val="1"/>
      <w:marLeft w:val="0"/>
      <w:marRight w:val="0"/>
      <w:marTop w:val="0"/>
      <w:marBottom w:val="0"/>
      <w:divBdr>
        <w:top w:val="none" w:sz="0" w:space="0" w:color="auto"/>
        <w:left w:val="none" w:sz="0" w:space="0" w:color="auto"/>
        <w:bottom w:val="none" w:sz="0" w:space="0" w:color="auto"/>
        <w:right w:val="none" w:sz="0" w:space="0" w:color="auto"/>
      </w:divBdr>
    </w:div>
    <w:div w:id="1137185521">
      <w:bodyDiv w:val="1"/>
      <w:marLeft w:val="0"/>
      <w:marRight w:val="0"/>
      <w:marTop w:val="0"/>
      <w:marBottom w:val="0"/>
      <w:divBdr>
        <w:top w:val="none" w:sz="0" w:space="0" w:color="auto"/>
        <w:left w:val="none" w:sz="0" w:space="0" w:color="auto"/>
        <w:bottom w:val="none" w:sz="0" w:space="0" w:color="auto"/>
        <w:right w:val="none" w:sz="0" w:space="0" w:color="auto"/>
      </w:divBdr>
    </w:div>
    <w:div w:id="1165441118">
      <w:bodyDiv w:val="1"/>
      <w:marLeft w:val="0"/>
      <w:marRight w:val="0"/>
      <w:marTop w:val="0"/>
      <w:marBottom w:val="0"/>
      <w:divBdr>
        <w:top w:val="none" w:sz="0" w:space="0" w:color="auto"/>
        <w:left w:val="none" w:sz="0" w:space="0" w:color="auto"/>
        <w:bottom w:val="none" w:sz="0" w:space="0" w:color="auto"/>
        <w:right w:val="none" w:sz="0" w:space="0" w:color="auto"/>
      </w:divBdr>
    </w:div>
    <w:div w:id="1192836925">
      <w:bodyDiv w:val="1"/>
      <w:marLeft w:val="0"/>
      <w:marRight w:val="0"/>
      <w:marTop w:val="0"/>
      <w:marBottom w:val="0"/>
      <w:divBdr>
        <w:top w:val="none" w:sz="0" w:space="0" w:color="auto"/>
        <w:left w:val="none" w:sz="0" w:space="0" w:color="auto"/>
        <w:bottom w:val="none" w:sz="0" w:space="0" w:color="auto"/>
        <w:right w:val="none" w:sz="0" w:space="0" w:color="auto"/>
      </w:divBdr>
    </w:div>
    <w:div w:id="1236548762">
      <w:bodyDiv w:val="1"/>
      <w:marLeft w:val="0"/>
      <w:marRight w:val="0"/>
      <w:marTop w:val="0"/>
      <w:marBottom w:val="0"/>
      <w:divBdr>
        <w:top w:val="none" w:sz="0" w:space="0" w:color="auto"/>
        <w:left w:val="none" w:sz="0" w:space="0" w:color="auto"/>
        <w:bottom w:val="none" w:sz="0" w:space="0" w:color="auto"/>
        <w:right w:val="none" w:sz="0" w:space="0" w:color="auto"/>
      </w:divBdr>
      <w:divsChild>
        <w:div w:id="20709665">
          <w:marLeft w:val="0"/>
          <w:marRight w:val="0"/>
          <w:marTop w:val="0"/>
          <w:marBottom w:val="0"/>
          <w:divBdr>
            <w:top w:val="none" w:sz="0" w:space="0" w:color="auto"/>
            <w:left w:val="none" w:sz="0" w:space="0" w:color="auto"/>
            <w:bottom w:val="none" w:sz="0" w:space="0" w:color="auto"/>
            <w:right w:val="none" w:sz="0" w:space="0" w:color="auto"/>
          </w:divBdr>
          <w:divsChild>
            <w:div w:id="2776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2562">
      <w:bodyDiv w:val="1"/>
      <w:marLeft w:val="0"/>
      <w:marRight w:val="0"/>
      <w:marTop w:val="0"/>
      <w:marBottom w:val="0"/>
      <w:divBdr>
        <w:top w:val="none" w:sz="0" w:space="0" w:color="auto"/>
        <w:left w:val="none" w:sz="0" w:space="0" w:color="auto"/>
        <w:bottom w:val="none" w:sz="0" w:space="0" w:color="auto"/>
        <w:right w:val="none" w:sz="0" w:space="0" w:color="auto"/>
      </w:divBdr>
    </w:div>
    <w:div w:id="1266377188">
      <w:bodyDiv w:val="1"/>
      <w:marLeft w:val="0"/>
      <w:marRight w:val="0"/>
      <w:marTop w:val="0"/>
      <w:marBottom w:val="0"/>
      <w:divBdr>
        <w:top w:val="none" w:sz="0" w:space="0" w:color="auto"/>
        <w:left w:val="none" w:sz="0" w:space="0" w:color="auto"/>
        <w:bottom w:val="none" w:sz="0" w:space="0" w:color="auto"/>
        <w:right w:val="none" w:sz="0" w:space="0" w:color="auto"/>
      </w:divBdr>
    </w:div>
    <w:div w:id="1357148355">
      <w:bodyDiv w:val="1"/>
      <w:marLeft w:val="0"/>
      <w:marRight w:val="0"/>
      <w:marTop w:val="0"/>
      <w:marBottom w:val="0"/>
      <w:divBdr>
        <w:top w:val="none" w:sz="0" w:space="0" w:color="auto"/>
        <w:left w:val="none" w:sz="0" w:space="0" w:color="auto"/>
        <w:bottom w:val="none" w:sz="0" w:space="0" w:color="auto"/>
        <w:right w:val="none" w:sz="0" w:space="0" w:color="auto"/>
      </w:divBdr>
    </w:div>
    <w:div w:id="1427579942">
      <w:bodyDiv w:val="1"/>
      <w:marLeft w:val="0"/>
      <w:marRight w:val="0"/>
      <w:marTop w:val="0"/>
      <w:marBottom w:val="0"/>
      <w:divBdr>
        <w:top w:val="none" w:sz="0" w:space="0" w:color="auto"/>
        <w:left w:val="none" w:sz="0" w:space="0" w:color="auto"/>
        <w:bottom w:val="none" w:sz="0" w:space="0" w:color="auto"/>
        <w:right w:val="none" w:sz="0" w:space="0" w:color="auto"/>
      </w:divBdr>
    </w:div>
    <w:div w:id="1453087225">
      <w:bodyDiv w:val="1"/>
      <w:marLeft w:val="0"/>
      <w:marRight w:val="0"/>
      <w:marTop w:val="0"/>
      <w:marBottom w:val="0"/>
      <w:divBdr>
        <w:top w:val="none" w:sz="0" w:space="0" w:color="auto"/>
        <w:left w:val="none" w:sz="0" w:space="0" w:color="auto"/>
        <w:bottom w:val="none" w:sz="0" w:space="0" w:color="auto"/>
        <w:right w:val="none" w:sz="0" w:space="0" w:color="auto"/>
      </w:divBdr>
    </w:div>
    <w:div w:id="1485705642">
      <w:bodyDiv w:val="1"/>
      <w:marLeft w:val="0"/>
      <w:marRight w:val="0"/>
      <w:marTop w:val="0"/>
      <w:marBottom w:val="0"/>
      <w:divBdr>
        <w:top w:val="none" w:sz="0" w:space="0" w:color="auto"/>
        <w:left w:val="none" w:sz="0" w:space="0" w:color="auto"/>
        <w:bottom w:val="none" w:sz="0" w:space="0" w:color="auto"/>
        <w:right w:val="none" w:sz="0" w:space="0" w:color="auto"/>
      </w:divBdr>
      <w:divsChild>
        <w:div w:id="1693997555">
          <w:marLeft w:val="0"/>
          <w:marRight w:val="0"/>
          <w:marTop w:val="0"/>
          <w:marBottom w:val="0"/>
          <w:divBdr>
            <w:top w:val="none" w:sz="0" w:space="0" w:color="auto"/>
            <w:left w:val="none" w:sz="0" w:space="0" w:color="auto"/>
            <w:bottom w:val="none" w:sz="0" w:space="0" w:color="auto"/>
            <w:right w:val="none" w:sz="0" w:space="0" w:color="auto"/>
          </w:divBdr>
          <w:divsChild>
            <w:div w:id="172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55848007">
      <w:bodyDiv w:val="1"/>
      <w:marLeft w:val="0"/>
      <w:marRight w:val="0"/>
      <w:marTop w:val="0"/>
      <w:marBottom w:val="0"/>
      <w:divBdr>
        <w:top w:val="none" w:sz="0" w:space="0" w:color="auto"/>
        <w:left w:val="none" w:sz="0" w:space="0" w:color="auto"/>
        <w:bottom w:val="none" w:sz="0" w:space="0" w:color="auto"/>
        <w:right w:val="none" w:sz="0" w:space="0" w:color="auto"/>
      </w:divBdr>
    </w:div>
    <w:div w:id="1639148542">
      <w:bodyDiv w:val="1"/>
      <w:marLeft w:val="0"/>
      <w:marRight w:val="0"/>
      <w:marTop w:val="0"/>
      <w:marBottom w:val="0"/>
      <w:divBdr>
        <w:top w:val="none" w:sz="0" w:space="0" w:color="auto"/>
        <w:left w:val="none" w:sz="0" w:space="0" w:color="auto"/>
        <w:bottom w:val="none" w:sz="0" w:space="0" w:color="auto"/>
        <w:right w:val="none" w:sz="0" w:space="0" w:color="auto"/>
      </w:divBdr>
    </w:div>
    <w:div w:id="1651860758">
      <w:bodyDiv w:val="1"/>
      <w:marLeft w:val="0"/>
      <w:marRight w:val="0"/>
      <w:marTop w:val="0"/>
      <w:marBottom w:val="0"/>
      <w:divBdr>
        <w:top w:val="none" w:sz="0" w:space="0" w:color="auto"/>
        <w:left w:val="none" w:sz="0" w:space="0" w:color="auto"/>
        <w:bottom w:val="none" w:sz="0" w:space="0" w:color="auto"/>
        <w:right w:val="none" w:sz="0" w:space="0" w:color="auto"/>
      </w:divBdr>
    </w:div>
    <w:div w:id="1654019870">
      <w:bodyDiv w:val="1"/>
      <w:marLeft w:val="0"/>
      <w:marRight w:val="0"/>
      <w:marTop w:val="0"/>
      <w:marBottom w:val="0"/>
      <w:divBdr>
        <w:top w:val="none" w:sz="0" w:space="0" w:color="auto"/>
        <w:left w:val="none" w:sz="0" w:space="0" w:color="auto"/>
        <w:bottom w:val="none" w:sz="0" w:space="0" w:color="auto"/>
        <w:right w:val="none" w:sz="0" w:space="0" w:color="auto"/>
      </w:divBdr>
    </w:div>
    <w:div w:id="1670911135">
      <w:bodyDiv w:val="1"/>
      <w:marLeft w:val="0"/>
      <w:marRight w:val="0"/>
      <w:marTop w:val="0"/>
      <w:marBottom w:val="0"/>
      <w:divBdr>
        <w:top w:val="none" w:sz="0" w:space="0" w:color="auto"/>
        <w:left w:val="none" w:sz="0" w:space="0" w:color="auto"/>
        <w:bottom w:val="none" w:sz="0" w:space="0" w:color="auto"/>
        <w:right w:val="none" w:sz="0" w:space="0" w:color="auto"/>
      </w:divBdr>
    </w:div>
    <w:div w:id="1695958323">
      <w:bodyDiv w:val="1"/>
      <w:marLeft w:val="0"/>
      <w:marRight w:val="0"/>
      <w:marTop w:val="0"/>
      <w:marBottom w:val="0"/>
      <w:divBdr>
        <w:top w:val="none" w:sz="0" w:space="0" w:color="auto"/>
        <w:left w:val="none" w:sz="0" w:space="0" w:color="auto"/>
        <w:bottom w:val="none" w:sz="0" w:space="0" w:color="auto"/>
        <w:right w:val="none" w:sz="0" w:space="0" w:color="auto"/>
      </w:divBdr>
    </w:div>
    <w:div w:id="1717927137">
      <w:bodyDiv w:val="1"/>
      <w:marLeft w:val="0"/>
      <w:marRight w:val="0"/>
      <w:marTop w:val="0"/>
      <w:marBottom w:val="0"/>
      <w:divBdr>
        <w:top w:val="none" w:sz="0" w:space="0" w:color="auto"/>
        <w:left w:val="none" w:sz="0" w:space="0" w:color="auto"/>
        <w:bottom w:val="none" w:sz="0" w:space="0" w:color="auto"/>
        <w:right w:val="none" w:sz="0" w:space="0" w:color="auto"/>
      </w:divBdr>
    </w:div>
    <w:div w:id="1750225153">
      <w:bodyDiv w:val="1"/>
      <w:marLeft w:val="0"/>
      <w:marRight w:val="0"/>
      <w:marTop w:val="0"/>
      <w:marBottom w:val="0"/>
      <w:divBdr>
        <w:top w:val="none" w:sz="0" w:space="0" w:color="auto"/>
        <w:left w:val="none" w:sz="0" w:space="0" w:color="auto"/>
        <w:bottom w:val="none" w:sz="0" w:space="0" w:color="auto"/>
        <w:right w:val="none" w:sz="0" w:space="0" w:color="auto"/>
      </w:divBdr>
    </w:div>
    <w:div w:id="1804884621">
      <w:bodyDiv w:val="1"/>
      <w:marLeft w:val="0"/>
      <w:marRight w:val="0"/>
      <w:marTop w:val="0"/>
      <w:marBottom w:val="0"/>
      <w:divBdr>
        <w:top w:val="none" w:sz="0" w:space="0" w:color="auto"/>
        <w:left w:val="none" w:sz="0" w:space="0" w:color="auto"/>
        <w:bottom w:val="none" w:sz="0" w:space="0" w:color="auto"/>
        <w:right w:val="none" w:sz="0" w:space="0" w:color="auto"/>
      </w:divBdr>
    </w:div>
    <w:div w:id="1846675122">
      <w:bodyDiv w:val="1"/>
      <w:marLeft w:val="0"/>
      <w:marRight w:val="0"/>
      <w:marTop w:val="0"/>
      <w:marBottom w:val="0"/>
      <w:divBdr>
        <w:top w:val="none" w:sz="0" w:space="0" w:color="auto"/>
        <w:left w:val="none" w:sz="0" w:space="0" w:color="auto"/>
        <w:bottom w:val="none" w:sz="0" w:space="0" w:color="auto"/>
        <w:right w:val="none" w:sz="0" w:space="0" w:color="auto"/>
      </w:divBdr>
    </w:div>
    <w:div w:id="1873835359">
      <w:bodyDiv w:val="1"/>
      <w:marLeft w:val="0"/>
      <w:marRight w:val="0"/>
      <w:marTop w:val="0"/>
      <w:marBottom w:val="0"/>
      <w:divBdr>
        <w:top w:val="none" w:sz="0" w:space="0" w:color="auto"/>
        <w:left w:val="none" w:sz="0" w:space="0" w:color="auto"/>
        <w:bottom w:val="none" w:sz="0" w:space="0" w:color="auto"/>
        <w:right w:val="none" w:sz="0" w:space="0" w:color="auto"/>
      </w:divBdr>
    </w:div>
    <w:div w:id="1947809643">
      <w:bodyDiv w:val="1"/>
      <w:marLeft w:val="0"/>
      <w:marRight w:val="0"/>
      <w:marTop w:val="0"/>
      <w:marBottom w:val="0"/>
      <w:divBdr>
        <w:top w:val="none" w:sz="0" w:space="0" w:color="auto"/>
        <w:left w:val="none" w:sz="0" w:space="0" w:color="auto"/>
        <w:bottom w:val="none" w:sz="0" w:space="0" w:color="auto"/>
        <w:right w:val="none" w:sz="0" w:space="0" w:color="auto"/>
      </w:divBdr>
    </w:div>
    <w:div w:id="1989673977">
      <w:bodyDiv w:val="1"/>
      <w:marLeft w:val="0"/>
      <w:marRight w:val="0"/>
      <w:marTop w:val="0"/>
      <w:marBottom w:val="0"/>
      <w:divBdr>
        <w:top w:val="none" w:sz="0" w:space="0" w:color="auto"/>
        <w:left w:val="none" w:sz="0" w:space="0" w:color="auto"/>
        <w:bottom w:val="none" w:sz="0" w:space="0" w:color="auto"/>
        <w:right w:val="none" w:sz="0" w:space="0" w:color="auto"/>
      </w:divBdr>
    </w:div>
    <w:div w:id="2000113025">
      <w:bodyDiv w:val="1"/>
      <w:marLeft w:val="0"/>
      <w:marRight w:val="0"/>
      <w:marTop w:val="0"/>
      <w:marBottom w:val="0"/>
      <w:divBdr>
        <w:top w:val="none" w:sz="0" w:space="0" w:color="auto"/>
        <w:left w:val="none" w:sz="0" w:space="0" w:color="auto"/>
        <w:bottom w:val="none" w:sz="0" w:space="0" w:color="auto"/>
        <w:right w:val="none" w:sz="0" w:space="0" w:color="auto"/>
      </w:divBdr>
    </w:div>
    <w:div w:id="2011830228">
      <w:bodyDiv w:val="1"/>
      <w:marLeft w:val="0"/>
      <w:marRight w:val="0"/>
      <w:marTop w:val="0"/>
      <w:marBottom w:val="0"/>
      <w:divBdr>
        <w:top w:val="none" w:sz="0" w:space="0" w:color="auto"/>
        <w:left w:val="none" w:sz="0" w:space="0" w:color="auto"/>
        <w:bottom w:val="none" w:sz="0" w:space="0" w:color="auto"/>
        <w:right w:val="none" w:sz="0" w:space="0" w:color="auto"/>
      </w:divBdr>
    </w:div>
    <w:div w:id="2062096620">
      <w:bodyDiv w:val="1"/>
      <w:marLeft w:val="0"/>
      <w:marRight w:val="0"/>
      <w:marTop w:val="0"/>
      <w:marBottom w:val="0"/>
      <w:divBdr>
        <w:top w:val="none" w:sz="0" w:space="0" w:color="auto"/>
        <w:left w:val="none" w:sz="0" w:space="0" w:color="auto"/>
        <w:bottom w:val="none" w:sz="0" w:space="0" w:color="auto"/>
        <w:right w:val="none" w:sz="0" w:space="0" w:color="auto"/>
      </w:divBdr>
    </w:div>
    <w:div w:id="2113360754">
      <w:bodyDiv w:val="1"/>
      <w:marLeft w:val="0"/>
      <w:marRight w:val="0"/>
      <w:marTop w:val="0"/>
      <w:marBottom w:val="0"/>
      <w:divBdr>
        <w:top w:val="none" w:sz="0" w:space="0" w:color="auto"/>
        <w:left w:val="none" w:sz="0" w:space="0" w:color="auto"/>
        <w:bottom w:val="none" w:sz="0" w:space="0" w:color="auto"/>
        <w:right w:val="none" w:sz="0" w:space="0" w:color="auto"/>
      </w:divBdr>
    </w:div>
    <w:div w:id="2134903923">
      <w:bodyDiv w:val="1"/>
      <w:marLeft w:val="0"/>
      <w:marRight w:val="0"/>
      <w:marTop w:val="0"/>
      <w:marBottom w:val="0"/>
      <w:divBdr>
        <w:top w:val="none" w:sz="0" w:space="0" w:color="auto"/>
        <w:left w:val="none" w:sz="0" w:space="0" w:color="auto"/>
        <w:bottom w:val="none" w:sz="0" w:space="0" w:color="auto"/>
        <w:right w:val="none" w:sz="0" w:space="0" w:color="auto"/>
      </w:divBdr>
      <w:divsChild>
        <w:div w:id="2144999756">
          <w:marLeft w:val="0"/>
          <w:marRight w:val="0"/>
          <w:marTop w:val="0"/>
          <w:marBottom w:val="0"/>
          <w:divBdr>
            <w:top w:val="none" w:sz="0" w:space="0" w:color="auto"/>
            <w:left w:val="none" w:sz="0" w:space="0" w:color="auto"/>
            <w:bottom w:val="none" w:sz="0" w:space="0" w:color="auto"/>
            <w:right w:val="none" w:sz="0" w:space="0" w:color="auto"/>
          </w:divBdr>
          <w:divsChild>
            <w:div w:id="1325743148">
              <w:marLeft w:val="0"/>
              <w:marRight w:val="0"/>
              <w:marTop w:val="0"/>
              <w:marBottom w:val="0"/>
              <w:divBdr>
                <w:top w:val="none" w:sz="0" w:space="0" w:color="auto"/>
                <w:left w:val="none" w:sz="0" w:space="0" w:color="auto"/>
                <w:bottom w:val="none" w:sz="0" w:space="0" w:color="auto"/>
                <w:right w:val="none" w:sz="0" w:space="0" w:color="auto"/>
              </w:divBdr>
              <w:divsChild>
                <w:div w:id="20969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5135">
      <w:bodyDiv w:val="1"/>
      <w:marLeft w:val="0"/>
      <w:marRight w:val="0"/>
      <w:marTop w:val="0"/>
      <w:marBottom w:val="0"/>
      <w:divBdr>
        <w:top w:val="none" w:sz="0" w:space="0" w:color="auto"/>
        <w:left w:val="none" w:sz="0" w:space="0" w:color="auto"/>
        <w:bottom w:val="none" w:sz="0" w:space="0" w:color="auto"/>
        <w:right w:val="none" w:sz="0" w:space="0" w:color="auto"/>
      </w:divBdr>
      <w:divsChild>
        <w:div w:id="914555994">
          <w:marLeft w:val="0"/>
          <w:marRight w:val="0"/>
          <w:marTop w:val="0"/>
          <w:marBottom w:val="0"/>
          <w:divBdr>
            <w:top w:val="none" w:sz="0" w:space="0" w:color="auto"/>
            <w:left w:val="none" w:sz="0" w:space="0" w:color="auto"/>
            <w:bottom w:val="none" w:sz="0" w:space="0" w:color="auto"/>
            <w:right w:val="none" w:sz="0" w:space="0" w:color="auto"/>
          </w:divBdr>
          <w:divsChild>
            <w:div w:id="2071224265">
              <w:marLeft w:val="0"/>
              <w:marRight w:val="0"/>
              <w:marTop w:val="0"/>
              <w:marBottom w:val="0"/>
              <w:divBdr>
                <w:top w:val="none" w:sz="0" w:space="0" w:color="auto"/>
                <w:left w:val="none" w:sz="0" w:space="0" w:color="auto"/>
                <w:bottom w:val="none" w:sz="0" w:space="0" w:color="auto"/>
                <w:right w:val="none" w:sz="0" w:space="0" w:color="auto"/>
              </w:divBdr>
              <w:divsChild>
                <w:div w:id="1432706655">
                  <w:marLeft w:val="0"/>
                  <w:marRight w:val="0"/>
                  <w:marTop w:val="0"/>
                  <w:marBottom w:val="0"/>
                  <w:divBdr>
                    <w:top w:val="none" w:sz="0" w:space="0" w:color="auto"/>
                    <w:left w:val="none" w:sz="0" w:space="0" w:color="auto"/>
                    <w:bottom w:val="none" w:sz="0" w:space="0" w:color="auto"/>
                    <w:right w:val="none" w:sz="0" w:space="0" w:color="auto"/>
                  </w:divBdr>
                  <w:divsChild>
                    <w:div w:id="12910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CTQFD2CFPMXN-979-676</_dlc_DocId>
    <_dlc_DocIdUrl xmlns="498267d4-2a5a-4c72-99d3-cf7236a95ce8">
      <Url>https://msft.spoppe.com/teams/cpub/teams/Consumer/templates/_layouts/15/DocIdRedir.aspx?ID=CTQFD2CFPMXN-979-676</Url>
      <Description>CTQFD2CFPMXN-979-676</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498267d4-2a5a-4c72-99d3-cf7236a95ce8"/>
  </ds:schemaRefs>
</ds:datastoreItem>
</file>

<file path=customXml/itemProps2.xml><?xml version="1.0" encoding="utf-8"?>
<ds:datastoreItem xmlns:ds="http://schemas.openxmlformats.org/officeDocument/2006/customXml" ds:itemID="{400DB6FE-DF17-4741-ACCE-BDED9F9E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A49B8-B6EE-4B3F-B22F-E9F8C6A00940}">
  <ds:schemaRefs>
    <ds:schemaRef ds:uri="http://schemas.microsoft.com/sharepoint/events"/>
  </ds:schemaRefs>
</ds:datastoreItem>
</file>

<file path=customXml/itemProps4.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5.xml><?xml version="1.0" encoding="utf-8"?>
<ds:datastoreItem xmlns:ds="http://schemas.openxmlformats.org/officeDocument/2006/customXml" ds:itemID="{B256EEB6-82DE-D348-87C7-B651673E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11010</Words>
  <Characters>62763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byrne</dc:creator>
  <cp:keywords/>
  <dc:description/>
  <cp:lastModifiedBy>Byrne, James</cp:lastModifiedBy>
  <cp:revision>3</cp:revision>
  <dcterms:created xsi:type="dcterms:W3CDTF">2025-12-06T20:13:00Z</dcterms:created>
  <dcterms:modified xsi:type="dcterms:W3CDTF">2025-12-06T20:20:00Z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0x010100012E2E405031D74DB051ADDB3D34E572</vt:lpwstr>
  </property>
  <property fmtid="{D5CDD505-2E9C-101B-9397-08002B2CF9AE}" pid="4" name="AssetID">
    <vt:lpwstr>TF10002005</vt:lpwstr>
  </property>
  <property fmtid="{D5CDD505-2E9C-101B-9397-08002B2CF9AE}" pid="5" name="ZOTERO_PREF_1">
    <vt:lpwstr>&lt;data data-version="3" zotero-version="7.0.30"&gt;&lt;session id="tdeQ75np"/&gt;&lt;style id="http://www.zotero.org/styles/apa" locale="en-CA" hasBibliography="1" bibliographyStyleHasBeenSet="1"/&gt;&lt;prefs&gt;&lt;pref name="fieldType" value="Field"/&gt;&lt;/prefs&gt;&lt;/data&gt;</vt:lpwstr>
  </property>
</Properties>
</file>