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83CAC" w:rsidRPr="00395D2C" w:rsidRDefault="00E83CAC">
      <w:pPr>
        <w:ind w:left="-721" w:right="10529"/>
        <w:jc w:val="left"/>
        <w:rPr>
          <w:lang w:val="en-GB"/>
        </w:rPr>
      </w:pPr>
    </w:p>
    <w:tbl>
      <w:tblPr>
        <w:tblStyle w:val="TableGrid"/>
        <w:tblW w:w="10444" w:type="dxa"/>
        <w:tblInd w:w="175" w:type="dxa"/>
        <w:tblCellMar>
          <w:top w:w="42" w:type="dxa"/>
          <w:left w:w="105" w:type="dxa"/>
          <w:right w:w="1" w:type="dxa"/>
        </w:tblCellMar>
        <w:tblLook w:val="04A0" w:firstRow="1" w:lastRow="0" w:firstColumn="1" w:lastColumn="0" w:noHBand="0" w:noVBand="1"/>
      </w:tblPr>
      <w:tblGrid>
        <w:gridCol w:w="5645"/>
        <w:gridCol w:w="261"/>
        <w:gridCol w:w="1421"/>
        <w:gridCol w:w="1430"/>
        <w:gridCol w:w="1426"/>
        <w:gridCol w:w="261"/>
      </w:tblGrid>
      <w:tr w:rsidR="00E83CAC" w:rsidRPr="00A41A72" w14:paraId="18301D92" w14:textId="77777777" w:rsidTr="7A2B0711">
        <w:trPr>
          <w:trHeight w:val="980"/>
        </w:trPr>
        <w:tc>
          <w:tcPr>
            <w:tcW w:w="104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D3CF6" w14:textId="77777777" w:rsidR="00E83CAC" w:rsidRPr="00395D2C" w:rsidRDefault="005B57B4">
            <w:pPr>
              <w:ind w:left="154"/>
              <w:jc w:val="center"/>
              <w:rPr>
                <w:lang w:val="en-GB"/>
              </w:rPr>
            </w:pPr>
            <w:r w:rsidRPr="00395D2C">
              <w:rPr>
                <w:b/>
                <w:color w:val="25487C"/>
                <w:sz w:val="40"/>
                <w:lang w:val="en-GB"/>
              </w:rPr>
              <w:t>COUNTRY LEVEL COMMUNITY  CORRECTIONS DATA SUMMARY</w:t>
            </w:r>
            <w:r w:rsidRPr="00395D2C">
              <w:rPr>
                <w:b/>
                <w:sz w:val="40"/>
                <w:lang w:val="en-GB"/>
              </w:rPr>
              <w:t xml:space="preserve"> </w:t>
            </w:r>
          </w:p>
        </w:tc>
      </w:tr>
      <w:tr w:rsidR="00E83CAC" w:rsidRPr="00A41A72" w14:paraId="77380584" w14:textId="77777777" w:rsidTr="7A2B0711">
        <w:trPr>
          <w:trHeight w:val="255"/>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D67C0" w14:textId="77777777" w:rsidR="00E83CAC" w:rsidRPr="00395D2C" w:rsidRDefault="005B57B4">
            <w:pPr>
              <w:ind w:left="5"/>
              <w:jc w:val="left"/>
              <w:rPr>
                <w:lang w:val="en-GB"/>
              </w:rPr>
            </w:pPr>
            <w:r w:rsidRPr="00395D2C">
              <w:rPr>
                <w:b/>
                <w:sz w:val="20"/>
                <w:lang w:val="en-GB"/>
              </w:rPr>
              <w:t xml:space="preserve">Country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561BD" w14:textId="77777777" w:rsidR="00E83CAC" w:rsidRPr="00395D2C" w:rsidRDefault="000359A2">
            <w:pPr>
              <w:ind w:left="5"/>
              <w:jc w:val="left"/>
              <w:rPr>
                <w:sz w:val="20"/>
                <w:szCs w:val="20"/>
                <w:lang w:val="en-GB"/>
              </w:rPr>
            </w:pPr>
            <w:r w:rsidRPr="00395D2C">
              <w:rPr>
                <w:sz w:val="20"/>
                <w:szCs w:val="20"/>
                <w:lang w:val="en-GB"/>
              </w:rPr>
              <w:t>Latvia</w:t>
            </w:r>
          </w:p>
        </w:tc>
      </w:tr>
      <w:tr w:rsidR="00E83CAC" w:rsidRPr="00A41A72" w14:paraId="1725EE9D" w14:textId="77777777" w:rsidTr="7A2B0711">
        <w:trPr>
          <w:trHeight w:val="255"/>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812F8" w14:textId="77777777" w:rsidR="00E83CAC" w:rsidRPr="00395D2C" w:rsidRDefault="005B57B4">
            <w:pPr>
              <w:ind w:left="5"/>
              <w:jc w:val="left"/>
              <w:rPr>
                <w:lang w:val="en-GB"/>
              </w:rPr>
            </w:pPr>
            <w:r w:rsidRPr="00395D2C">
              <w:rPr>
                <w:b/>
                <w:sz w:val="20"/>
                <w:lang w:val="en-GB"/>
              </w:rPr>
              <w:t xml:space="preserve">Ministry responsible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B1B6" w14:textId="77777777" w:rsidR="00E83CAC" w:rsidRPr="00395D2C" w:rsidRDefault="005B57B4">
            <w:pPr>
              <w:ind w:left="5"/>
              <w:jc w:val="left"/>
              <w:rPr>
                <w:sz w:val="20"/>
                <w:szCs w:val="20"/>
                <w:lang w:val="en-GB"/>
              </w:rPr>
            </w:pPr>
            <w:r w:rsidRPr="00395D2C">
              <w:rPr>
                <w:sz w:val="20"/>
                <w:szCs w:val="20"/>
                <w:lang w:val="en-GB"/>
              </w:rPr>
              <w:t xml:space="preserve">Ministry of Justice  </w:t>
            </w:r>
          </w:p>
        </w:tc>
      </w:tr>
      <w:tr w:rsidR="00E83CAC" w:rsidRPr="00A41A72" w14:paraId="4BADF7A5" w14:textId="77777777" w:rsidTr="7A2B0711">
        <w:trPr>
          <w:trHeight w:val="495"/>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C7FDF" w14:textId="77777777" w:rsidR="00E83CAC" w:rsidRPr="00395D2C" w:rsidRDefault="005B57B4">
            <w:pPr>
              <w:ind w:left="5"/>
              <w:jc w:val="both"/>
              <w:rPr>
                <w:lang w:val="en-GB"/>
              </w:rPr>
            </w:pPr>
            <w:r w:rsidRPr="00395D2C">
              <w:rPr>
                <w:b/>
                <w:sz w:val="20"/>
                <w:lang w:val="en-GB"/>
              </w:rPr>
              <w:t xml:space="preserve">Community corrections administration (denote if separate from prison)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EAD76" w14:textId="0F470435" w:rsidR="00E83CAC" w:rsidRPr="00395D2C" w:rsidRDefault="11F2D1F2">
            <w:pPr>
              <w:ind w:left="5"/>
              <w:jc w:val="left"/>
              <w:rPr>
                <w:sz w:val="20"/>
                <w:szCs w:val="20"/>
                <w:lang w:val="en-GB"/>
              </w:rPr>
            </w:pPr>
            <w:r w:rsidRPr="00395D2C">
              <w:rPr>
                <w:sz w:val="20"/>
                <w:szCs w:val="20"/>
                <w:lang w:val="en-GB"/>
              </w:rPr>
              <w:t xml:space="preserve">State Probation Service </w:t>
            </w:r>
            <w:r w:rsidR="311CA2E2" w:rsidRPr="00395D2C">
              <w:rPr>
                <w:sz w:val="20"/>
                <w:szCs w:val="20"/>
                <w:lang w:val="en-GB"/>
              </w:rPr>
              <w:t>(SPS)</w:t>
            </w:r>
            <w:r w:rsidR="4A54A2CF" w:rsidRPr="00395D2C">
              <w:rPr>
                <w:sz w:val="20"/>
                <w:szCs w:val="20"/>
                <w:lang w:val="en-GB"/>
              </w:rPr>
              <w:t xml:space="preserve"> </w:t>
            </w:r>
            <w:r w:rsidR="3C98B0DF" w:rsidRPr="00395D2C">
              <w:rPr>
                <w:sz w:val="20"/>
                <w:szCs w:val="20"/>
                <w:lang w:val="en-GB"/>
              </w:rPr>
              <w:t xml:space="preserve">/ </w:t>
            </w:r>
            <w:r w:rsidRPr="00395D2C">
              <w:rPr>
                <w:sz w:val="20"/>
                <w:szCs w:val="20"/>
                <w:lang w:val="en-GB"/>
              </w:rPr>
              <w:t>Valsts probācijas dienests</w:t>
            </w:r>
          </w:p>
        </w:tc>
      </w:tr>
      <w:tr w:rsidR="00E83CAC" w:rsidRPr="00A41A72" w14:paraId="0ADD9385" w14:textId="77777777" w:rsidTr="7A2B0711">
        <w:trPr>
          <w:trHeight w:val="1471"/>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298C6" w14:textId="77777777" w:rsidR="00E83CAC" w:rsidRPr="00395D2C" w:rsidRDefault="005B57B4">
            <w:pPr>
              <w:ind w:left="5"/>
              <w:jc w:val="left"/>
              <w:rPr>
                <w:lang w:val="en-GB"/>
              </w:rPr>
            </w:pPr>
            <w:r w:rsidRPr="00395D2C">
              <w:rPr>
                <w:b/>
                <w:sz w:val="20"/>
                <w:lang w:val="en-GB"/>
              </w:rPr>
              <w:t xml:space="preserve">Contact address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6C99E" w14:textId="7AE24DAA" w:rsidR="00E83CAC" w:rsidRPr="00395D2C" w:rsidRDefault="1583AD05" w:rsidP="2F0114DB">
            <w:pPr>
              <w:jc w:val="left"/>
              <w:rPr>
                <w:color w:val="auto"/>
                <w:sz w:val="20"/>
                <w:szCs w:val="20"/>
                <w:lang w:val="en-GB"/>
              </w:rPr>
            </w:pPr>
            <w:hyperlink r:id="rId11">
              <w:r w:rsidRPr="00395D2C">
                <w:rPr>
                  <w:rStyle w:val="Hyperlink"/>
                  <w:color w:val="auto"/>
                  <w:sz w:val="22"/>
                  <w:u w:val="none"/>
                  <w:lang w:val="en-GB"/>
                </w:rPr>
                <w:t>Valērijas Seiles str. 9-1, Rīga, LV-1019</w:t>
              </w:r>
            </w:hyperlink>
            <w:r w:rsidR="76BC4195" w:rsidRPr="00395D2C">
              <w:rPr>
                <w:color w:val="auto"/>
                <w:sz w:val="20"/>
                <w:szCs w:val="20"/>
                <w:lang w:val="en-GB"/>
              </w:rPr>
              <w:t xml:space="preserve"> </w:t>
            </w:r>
          </w:p>
        </w:tc>
      </w:tr>
      <w:tr w:rsidR="00E83CAC" w:rsidRPr="00A41A72" w14:paraId="792057CF" w14:textId="77777777" w:rsidTr="7A2B0711">
        <w:trPr>
          <w:trHeight w:val="250"/>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20248" w14:textId="77777777" w:rsidR="00E83CAC" w:rsidRPr="00395D2C" w:rsidRDefault="005B57B4">
            <w:pPr>
              <w:ind w:left="5"/>
              <w:jc w:val="left"/>
              <w:rPr>
                <w:lang w:val="en-GB"/>
              </w:rPr>
            </w:pPr>
            <w:r w:rsidRPr="00395D2C">
              <w:rPr>
                <w:b/>
                <w:sz w:val="20"/>
                <w:lang w:val="en-GB"/>
              </w:rPr>
              <w:t xml:space="preserve">Telephone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8B3A0" w14:textId="77777777" w:rsidR="00E83CAC" w:rsidRPr="00395D2C" w:rsidRDefault="4E5B1C81" w:rsidP="2F0114DB">
            <w:pPr>
              <w:ind w:left="5"/>
              <w:jc w:val="left"/>
              <w:rPr>
                <w:color w:val="auto"/>
                <w:sz w:val="20"/>
                <w:szCs w:val="20"/>
                <w:lang w:val="en-GB"/>
              </w:rPr>
            </w:pPr>
            <w:hyperlink r:id="rId12" w:history="1">
              <w:r w:rsidRPr="00395D2C">
                <w:rPr>
                  <w:rStyle w:val="Hyperlink"/>
                  <w:rFonts w:ascii="RobustaTLPro-Regular" w:hAnsi="RobustaTLPro-Regular"/>
                  <w:color w:val="auto"/>
                  <w:sz w:val="23"/>
                  <w:szCs w:val="23"/>
                  <w:shd w:val="clear" w:color="auto" w:fill="FFFFFF"/>
                  <w:lang w:val="en-GB"/>
                </w:rPr>
                <w:t>+371 28613531</w:t>
              </w:r>
            </w:hyperlink>
          </w:p>
        </w:tc>
      </w:tr>
      <w:tr w:rsidR="00E83CAC" w:rsidRPr="00A41A72" w14:paraId="0122E780" w14:textId="77777777" w:rsidTr="7A2B0711">
        <w:trPr>
          <w:trHeight w:val="255"/>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DE50" w14:textId="77777777" w:rsidR="00E83CAC" w:rsidRPr="00395D2C" w:rsidRDefault="005B57B4">
            <w:pPr>
              <w:ind w:left="5"/>
              <w:jc w:val="left"/>
              <w:rPr>
                <w:lang w:val="en-GB"/>
              </w:rPr>
            </w:pPr>
            <w:r w:rsidRPr="00395D2C">
              <w:rPr>
                <w:b/>
                <w:sz w:val="20"/>
                <w:lang w:val="en-GB"/>
              </w:rPr>
              <w:t xml:space="preserve">Fax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433E1" w14:textId="77777777" w:rsidR="00E83CAC" w:rsidRPr="00395D2C" w:rsidRDefault="005B57B4">
            <w:pPr>
              <w:ind w:left="5"/>
              <w:jc w:val="left"/>
              <w:rPr>
                <w:sz w:val="20"/>
                <w:szCs w:val="20"/>
                <w:lang w:val="en-GB"/>
              </w:rPr>
            </w:pPr>
            <w:r w:rsidRPr="00395D2C">
              <w:rPr>
                <w:sz w:val="20"/>
                <w:szCs w:val="20"/>
                <w:lang w:val="en-GB"/>
              </w:rPr>
              <w:t xml:space="preserve">-- </w:t>
            </w:r>
          </w:p>
        </w:tc>
      </w:tr>
      <w:tr w:rsidR="00E83CAC" w:rsidRPr="00A41A72" w14:paraId="6E0AE889" w14:textId="77777777" w:rsidTr="7A2B0711">
        <w:trPr>
          <w:trHeight w:val="250"/>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89EA4" w14:textId="77777777" w:rsidR="00E83CAC" w:rsidRPr="00395D2C" w:rsidRDefault="005B57B4">
            <w:pPr>
              <w:ind w:left="5"/>
              <w:jc w:val="left"/>
              <w:rPr>
                <w:lang w:val="en-GB"/>
              </w:rPr>
            </w:pPr>
            <w:r w:rsidRPr="00395D2C">
              <w:rPr>
                <w:b/>
                <w:sz w:val="20"/>
                <w:lang w:val="en-GB"/>
              </w:rPr>
              <w:t xml:space="preserve">Email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39B84" w14:textId="77777777" w:rsidR="00E83CAC" w:rsidRPr="00395D2C" w:rsidRDefault="00622AD3">
            <w:pPr>
              <w:ind w:left="5"/>
              <w:jc w:val="left"/>
              <w:rPr>
                <w:sz w:val="20"/>
                <w:szCs w:val="20"/>
                <w:lang w:val="en-GB"/>
              </w:rPr>
            </w:pPr>
            <w:r w:rsidRPr="00395D2C">
              <w:rPr>
                <w:color w:val="0563C1"/>
                <w:sz w:val="20"/>
                <w:szCs w:val="20"/>
                <w:u w:val="single" w:color="0563C1"/>
                <w:lang w:val="en-GB"/>
              </w:rPr>
              <w:t>pasts@vpd.gov.lv</w:t>
            </w:r>
          </w:p>
        </w:tc>
      </w:tr>
      <w:tr w:rsidR="00E83CAC" w:rsidRPr="00A41A72" w14:paraId="1C7008D8" w14:textId="77777777" w:rsidTr="7A2B0711">
        <w:trPr>
          <w:trHeight w:val="500"/>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6FD33" w14:textId="77777777" w:rsidR="00E83CAC" w:rsidRPr="00395D2C" w:rsidRDefault="005B57B4">
            <w:pPr>
              <w:ind w:left="5"/>
              <w:jc w:val="left"/>
              <w:rPr>
                <w:lang w:val="en-GB"/>
              </w:rPr>
            </w:pPr>
            <w:r w:rsidRPr="00395D2C">
              <w:rPr>
                <w:b/>
                <w:sz w:val="20"/>
                <w:lang w:val="en-GB"/>
              </w:rPr>
              <w:t xml:space="preserve">Website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91477" w14:textId="77777777" w:rsidR="00E83CAC" w:rsidRPr="00395D2C" w:rsidRDefault="0077123D">
            <w:pPr>
              <w:ind w:left="5"/>
              <w:jc w:val="left"/>
              <w:rPr>
                <w:sz w:val="20"/>
                <w:szCs w:val="20"/>
                <w:lang w:val="en-GB"/>
              </w:rPr>
            </w:pPr>
            <w:r w:rsidRPr="00395D2C">
              <w:rPr>
                <w:sz w:val="20"/>
                <w:szCs w:val="20"/>
                <w:lang w:val="en-GB"/>
              </w:rPr>
              <w:t>https://www.vpd.gov.lv</w:t>
            </w:r>
          </w:p>
        </w:tc>
      </w:tr>
      <w:tr w:rsidR="00E83CAC" w:rsidRPr="00A41A72" w14:paraId="3DC36003" w14:textId="77777777" w:rsidTr="7A2B0711">
        <w:trPr>
          <w:trHeight w:val="495"/>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97A4E" w14:textId="77777777" w:rsidR="00E83CAC" w:rsidRPr="00395D2C" w:rsidRDefault="005B57B4">
            <w:pPr>
              <w:ind w:left="5" w:right="3"/>
              <w:jc w:val="both"/>
              <w:rPr>
                <w:lang w:val="en-GB"/>
              </w:rPr>
            </w:pPr>
            <w:r w:rsidRPr="00395D2C">
              <w:rPr>
                <w:b/>
                <w:sz w:val="20"/>
                <w:lang w:val="en-GB"/>
              </w:rPr>
              <w:t xml:space="preserve">Head of community corrections administration (and title)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F809" w14:textId="72077F44" w:rsidR="00E83CAC" w:rsidRPr="00395D2C" w:rsidRDefault="4E5B1C81">
            <w:pPr>
              <w:ind w:left="5"/>
              <w:jc w:val="left"/>
              <w:rPr>
                <w:sz w:val="20"/>
                <w:szCs w:val="20"/>
                <w:lang w:val="en-GB"/>
              </w:rPr>
            </w:pPr>
            <w:r w:rsidRPr="00395D2C">
              <w:rPr>
                <w:sz w:val="20"/>
                <w:szCs w:val="20"/>
                <w:lang w:val="en-GB"/>
              </w:rPr>
              <w:t>Imants Jurevičius, Head of the State Probation Service of Latvia</w:t>
            </w:r>
            <w:r w:rsidR="4D1B9C5F" w:rsidRPr="00395D2C">
              <w:rPr>
                <w:sz w:val="20"/>
                <w:szCs w:val="20"/>
                <w:lang w:val="en-GB"/>
              </w:rPr>
              <w:t xml:space="preserve"> </w:t>
            </w:r>
          </w:p>
        </w:tc>
      </w:tr>
      <w:tr w:rsidR="00E83CAC" w:rsidRPr="00A41A72" w14:paraId="31C0C8D5" w14:textId="77777777" w:rsidTr="7A2B0711">
        <w:trPr>
          <w:trHeight w:val="250"/>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1E340" w14:textId="016824AB" w:rsidR="00E83CAC" w:rsidRPr="00395D2C" w:rsidRDefault="76BC4195" w:rsidP="54EB4851">
            <w:pPr>
              <w:ind w:left="5"/>
              <w:jc w:val="left"/>
              <w:rPr>
                <w:b/>
                <w:bCs/>
                <w:sz w:val="20"/>
                <w:szCs w:val="20"/>
                <w:lang w:val="en-GB"/>
              </w:rPr>
            </w:pPr>
            <w:r w:rsidRPr="00395D2C">
              <w:rPr>
                <w:b/>
                <w:bCs/>
                <w:sz w:val="20"/>
                <w:szCs w:val="20"/>
                <w:lang w:val="en-GB"/>
              </w:rPr>
              <w:t>Community corrections population total</w:t>
            </w:r>
            <w:r w:rsidR="005B57B4" w:rsidRPr="00395D2C">
              <w:rPr>
                <w:rStyle w:val="FootnoteReference"/>
                <w:b/>
                <w:bCs/>
                <w:sz w:val="20"/>
                <w:szCs w:val="20"/>
                <w:lang w:val="en-GB"/>
              </w:rPr>
              <w:footnoteReference w:id="1"/>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1C5B8" w14:textId="60565E6A" w:rsidR="00E83CAC" w:rsidRPr="00395D2C" w:rsidRDefault="02801827" w:rsidP="2F0114DB">
            <w:pPr>
              <w:ind w:left="5"/>
              <w:jc w:val="left"/>
              <w:rPr>
                <w:sz w:val="20"/>
                <w:szCs w:val="20"/>
                <w:lang w:val="en-GB"/>
              </w:rPr>
            </w:pPr>
            <w:r w:rsidRPr="00395D2C">
              <w:rPr>
                <w:sz w:val="20"/>
                <w:szCs w:val="20"/>
                <w:lang w:val="en-GB"/>
              </w:rPr>
              <w:t>5 111</w:t>
            </w:r>
          </w:p>
        </w:tc>
      </w:tr>
      <w:tr w:rsidR="00E83CAC" w:rsidRPr="00A41A72" w14:paraId="5DD38787" w14:textId="77777777" w:rsidTr="7A2B0711">
        <w:trPr>
          <w:trHeight w:val="500"/>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863F4" w14:textId="6B9C9E41" w:rsidR="00E83CAC" w:rsidRPr="00395D2C" w:rsidRDefault="76BC4195" w:rsidP="54EB4851">
            <w:pPr>
              <w:ind w:left="5" w:right="10"/>
              <w:jc w:val="left"/>
              <w:rPr>
                <w:b/>
                <w:bCs/>
                <w:sz w:val="20"/>
                <w:szCs w:val="20"/>
                <w:lang w:val="en-GB"/>
              </w:rPr>
            </w:pPr>
            <w:r w:rsidRPr="00395D2C">
              <w:rPr>
                <w:b/>
                <w:bCs/>
                <w:sz w:val="20"/>
                <w:szCs w:val="20"/>
                <w:lang w:val="en-GB"/>
              </w:rPr>
              <w:t>Community corrections rate (offenders per 100,000 of national population)</w:t>
            </w:r>
            <w:r w:rsidR="005B57B4" w:rsidRPr="00395D2C">
              <w:rPr>
                <w:rStyle w:val="FootnoteReference"/>
                <w:b/>
                <w:bCs/>
                <w:sz w:val="20"/>
                <w:szCs w:val="20"/>
                <w:lang w:val="en-GB"/>
              </w:rPr>
              <w:footnoteReference w:id="2"/>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64B45" w14:textId="4EA2B5BF" w:rsidR="00E83CAC" w:rsidRPr="00395D2C" w:rsidRDefault="2818FE1F" w:rsidP="00A81EFA">
            <w:pPr>
              <w:jc w:val="left"/>
              <w:rPr>
                <w:sz w:val="20"/>
                <w:szCs w:val="20"/>
                <w:lang w:val="en-GB"/>
              </w:rPr>
            </w:pPr>
            <w:r w:rsidRPr="00395D2C">
              <w:rPr>
                <w:sz w:val="20"/>
                <w:szCs w:val="20"/>
                <w:lang w:val="en-GB"/>
              </w:rPr>
              <w:t>273,0</w:t>
            </w:r>
          </w:p>
        </w:tc>
      </w:tr>
      <w:tr w:rsidR="00E83CAC" w:rsidRPr="00A41A72" w14:paraId="5FEF54D8" w14:textId="77777777" w:rsidTr="7A2B0711">
        <w:trPr>
          <w:trHeight w:val="250"/>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B2586" w14:textId="4DA97296" w:rsidR="00E83CAC" w:rsidRPr="00395D2C" w:rsidRDefault="76BC4195" w:rsidP="54EB4851">
            <w:pPr>
              <w:ind w:left="5"/>
              <w:jc w:val="left"/>
              <w:rPr>
                <w:b/>
                <w:bCs/>
                <w:sz w:val="20"/>
                <w:szCs w:val="20"/>
                <w:lang w:val="en-GB"/>
              </w:rPr>
            </w:pPr>
            <w:r w:rsidRPr="00395D2C">
              <w:rPr>
                <w:b/>
                <w:bCs/>
                <w:sz w:val="20"/>
                <w:szCs w:val="20"/>
                <w:lang w:val="en-GB"/>
              </w:rPr>
              <w:t>Females in community corrections</w:t>
            </w:r>
            <w:r w:rsidR="00504A39" w:rsidRPr="00395D2C">
              <w:rPr>
                <w:rStyle w:val="FootnoteReference"/>
                <w:b/>
                <w:bCs/>
                <w:sz w:val="20"/>
                <w:szCs w:val="20"/>
                <w:lang w:val="en-GB"/>
              </w:rPr>
              <w:footnoteReference w:id="3"/>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82333" w14:textId="532330C9" w:rsidR="00E83CAC" w:rsidRPr="00395D2C" w:rsidRDefault="7EEE6165" w:rsidP="00A81EFA">
            <w:pPr>
              <w:jc w:val="left"/>
              <w:rPr>
                <w:sz w:val="20"/>
                <w:szCs w:val="20"/>
                <w:lang w:val="en-GB"/>
              </w:rPr>
            </w:pPr>
            <w:r w:rsidRPr="00395D2C">
              <w:rPr>
                <w:sz w:val="20"/>
                <w:szCs w:val="20"/>
                <w:lang w:val="en-GB"/>
              </w:rPr>
              <w:t>756</w:t>
            </w:r>
            <w:r w:rsidR="6132BFEF" w:rsidRPr="00395D2C">
              <w:rPr>
                <w:sz w:val="20"/>
                <w:szCs w:val="20"/>
                <w:lang w:val="en-GB"/>
              </w:rPr>
              <w:t xml:space="preserve"> (</w:t>
            </w:r>
            <w:r w:rsidR="2EB9BB8A" w:rsidRPr="00395D2C">
              <w:rPr>
                <w:sz w:val="20"/>
                <w:szCs w:val="20"/>
                <w:lang w:val="en-GB"/>
              </w:rPr>
              <w:t>14,8</w:t>
            </w:r>
            <w:r w:rsidR="6132BFEF" w:rsidRPr="00395D2C">
              <w:rPr>
                <w:sz w:val="20"/>
                <w:szCs w:val="20"/>
                <w:lang w:val="en-GB"/>
              </w:rPr>
              <w:t xml:space="preserve"> %)</w:t>
            </w:r>
          </w:p>
        </w:tc>
      </w:tr>
      <w:tr w:rsidR="00E83CAC" w:rsidRPr="00A41A72" w14:paraId="6C7662E3" w14:textId="77777777" w:rsidTr="7A2B0711">
        <w:trPr>
          <w:trHeight w:val="500"/>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673AB" w14:textId="3444383D" w:rsidR="00E83CAC" w:rsidRPr="00395D2C" w:rsidRDefault="76BC4195">
            <w:pPr>
              <w:ind w:left="5"/>
              <w:jc w:val="left"/>
              <w:rPr>
                <w:lang w:val="en-GB"/>
              </w:rPr>
            </w:pPr>
            <w:r w:rsidRPr="00395D2C">
              <w:rPr>
                <w:b/>
                <w:bCs/>
                <w:sz w:val="20"/>
                <w:szCs w:val="20"/>
                <w:lang w:val="en-GB"/>
              </w:rPr>
              <w:t>Juveniles / minors / young individuals in community corrections</w:t>
            </w:r>
            <w:r w:rsidR="007A68DA" w:rsidRPr="00395D2C">
              <w:rPr>
                <w:rStyle w:val="FootnoteReference"/>
                <w:b/>
                <w:bCs/>
                <w:sz w:val="20"/>
                <w:szCs w:val="20"/>
                <w:lang w:val="en-GB"/>
              </w:rPr>
              <w:footnoteReference w:id="4"/>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16D6E" w14:textId="0813650A" w:rsidR="00E83CAC" w:rsidRPr="00395D2C" w:rsidRDefault="2E589143" w:rsidP="00A81EFA">
            <w:pPr>
              <w:jc w:val="left"/>
              <w:rPr>
                <w:sz w:val="20"/>
                <w:szCs w:val="20"/>
                <w:lang w:val="en-GB"/>
              </w:rPr>
            </w:pPr>
            <w:r w:rsidRPr="00395D2C">
              <w:rPr>
                <w:sz w:val="20"/>
                <w:szCs w:val="20"/>
                <w:lang w:val="en-GB"/>
              </w:rPr>
              <w:t>100 (2,0 %)</w:t>
            </w:r>
          </w:p>
        </w:tc>
      </w:tr>
      <w:tr w:rsidR="00E83CAC" w:rsidRPr="00A41A72" w14:paraId="786900ED" w14:textId="77777777" w:rsidTr="7A2B0711">
        <w:trPr>
          <w:trHeight w:val="250"/>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3481" w14:textId="5148DA59" w:rsidR="00E83CAC" w:rsidRPr="009927CA" w:rsidRDefault="76BC4195" w:rsidP="2F0114DB">
            <w:pPr>
              <w:ind w:left="5"/>
              <w:jc w:val="left"/>
              <w:rPr>
                <w:b/>
                <w:bCs/>
                <w:sz w:val="20"/>
                <w:szCs w:val="20"/>
                <w:lang w:val="en-GB"/>
              </w:rPr>
            </w:pPr>
            <w:r w:rsidRPr="009927CA">
              <w:rPr>
                <w:b/>
                <w:bCs/>
                <w:sz w:val="20"/>
                <w:szCs w:val="20"/>
                <w:lang w:val="en-GB"/>
              </w:rPr>
              <w:lastRenderedPageBreak/>
              <w:t>Foreign individuals in community corrections</w:t>
            </w:r>
            <w:r w:rsidR="005B57B4" w:rsidRPr="009927CA">
              <w:rPr>
                <w:rStyle w:val="FootnoteReference"/>
                <w:b/>
                <w:bCs/>
                <w:sz w:val="20"/>
                <w:szCs w:val="20"/>
                <w:lang w:val="en-GB"/>
              </w:rPr>
              <w:footnoteReference w:id="5"/>
            </w:r>
            <w:r w:rsidRPr="009927CA">
              <w:rPr>
                <w:b/>
                <w:bCs/>
                <w:sz w:val="20"/>
                <w:szCs w:val="20"/>
                <w:lang w:val="en-GB"/>
              </w:rPr>
              <w:t xml:space="preserve"> </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B2F40" w14:textId="1D5FF03D" w:rsidR="00E83CAC" w:rsidRPr="009927CA" w:rsidRDefault="0F2F010C" w:rsidP="2F0114DB">
            <w:pPr>
              <w:ind w:left="5"/>
              <w:jc w:val="left"/>
              <w:rPr>
                <w:sz w:val="20"/>
                <w:szCs w:val="20"/>
                <w:lang w:val="en-GB"/>
              </w:rPr>
            </w:pPr>
            <w:r w:rsidRPr="009927CA">
              <w:rPr>
                <w:sz w:val="20"/>
                <w:szCs w:val="20"/>
                <w:lang w:val="en-GB"/>
              </w:rPr>
              <w:t>91 (1,8 %)</w:t>
            </w:r>
          </w:p>
        </w:tc>
      </w:tr>
      <w:tr w:rsidR="00E83CAC" w:rsidRPr="00A41A72" w14:paraId="670E0779" w14:textId="77777777" w:rsidTr="7A2B0711">
        <w:trPr>
          <w:trHeight w:val="741"/>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D205D" w14:textId="049003BE" w:rsidR="00E83CAC" w:rsidRPr="009927CA" w:rsidRDefault="76BC4195">
            <w:pPr>
              <w:ind w:left="5"/>
              <w:jc w:val="left"/>
              <w:rPr>
                <w:lang w:val="en-GB"/>
              </w:rPr>
            </w:pPr>
            <w:r w:rsidRPr="009927CA">
              <w:rPr>
                <w:b/>
                <w:bCs/>
                <w:sz w:val="20"/>
                <w:szCs w:val="20"/>
                <w:lang w:val="en-GB"/>
              </w:rPr>
              <w:t>Types of community-based, non-custodial sanctions (listed)</w:t>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A7D67" w14:textId="5871BC14" w:rsidR="00E83CAC" w:rsidRPr="009927CA" w:rsidRDefault="3181CF77" w:rsidP="2F0114DB">
            <w:pPr>
              <w:pStyle w:val="ListParagraph"/>
              <w:numPr>
                <w:ilvl w:val="0"/>
                <w:numId w:val="5"/>
              </w:numPr>
              <w:rPr>
                <w:rFonts w:eastAsia="Verdana" w:cstheme="minorHAnsi"/>
                <w:sz w:val="20"/>
                <w:szCs w:val="20"/>
                <w:lang w:val="en-GB"/>
              </w:rPr>
            </w:pPr>
            <w:r w:rsidRPr="009927CA">
              <w:rPr>
                <w:rFonts w:eastAsia="Verdana" w:cstheme="minorHAnsi"/>
                <w:sz w:val="20"/>
                <w:szCs w:val="20"/>
                <w:lang w:val="en-GB"/>
              </w:rPr>
              <w:t xml:space="preserve">Forms of </w:t>
            </w:r>
            <w:r w:rsidR="339D9D6A" w:rsidRPr="009927CA">
              <w:rPr>
                <w:rFonts w:eastAsia="Verdana" w:cstheme="minorHAnsi"/>
                <w:sz w:val="20"/>
                <w:szCs w:val="20"/>
                <w:lang w:val="en-GB"/>
              </w:rPr>
              <w:t>P</w:t>
            </w:r>
            <w:r w:rsidR="11727CD2" w:rsidRPr="009927CA">
              <w:rPr>
                <w:rFonts w:eastAsia="Verdana" w:cstheme="minorHAnsi"/>
                <w:sz w:val="20"/>
                <w:szCs w:val="20"/>
                <w:lang w:val="en-GB"/>
              </w:rPr>
              <w:t>robation before the sentence</w:t>
            </w:r>
            <w:r w:rsidR="061D0229" w:rsidRPr="009927CA">
              <w:rPr>
                <w:rFonts w:eastAsia="Verdana" w:cstheme="minorHAnsi"/>
                <w:sz w:val="20"/>
                <w:szCs w:val="20"/>
                <w:lang w:val="en-GB"/>
              </w:rPr>
              <w:t>:</w:t>
            </w:r>
          </w:p>
          <w:p w14:paraId="5ADA6724" w14:textId="41A54A72" w:rsidR="00E83CAC" w:rsidRPr="009927CA" w:rsidRDefault="08AC6DA1" w:rsidP="00A81EFA">
            <w:pPr>
              <w:pStyle w:val="ListParagraph"/>
              <w:numPr>
                <w:ilvl w:val="1"/>
                <w:numId w:val="5"/>
              </w:numPr>
              <w:rPr>
                <w:rFonts w:cstheme="minorHAnsi"/>
                <w:sz w:val="20"/>
                <w:szCs w:val="20"/>
                <w:lang w:val="en-GB"/>
              </w:rPr>
            </w:pPr>
            <w:r w:rsidRPr="009927CA">
              <w:rPr>
                <w:rFonts w:cstheme="minorHAnsi"/>
                <w:sz w:val="20"/>
                <w:szCs w:val="20"/>
                <w:lang w:val="en-GB"/>
              </w:rPr>
              <w:t>Conditional suspension of the criminal proceedings with proba</w:t>
            </w:r>
            <w:r w:rsidR="2C216363" w:rsidRPr="009927CA">
              <w:rPr>
                <w:rFonts w:cstheme="minorHAnsi"/>
                <w:sz w:val="20"/>
                <w:szCs w:val="20"/>
                <w:lang w:val="en-GB"/>
              </w:rPr>
              <w:t>tion supervision</w:t>
            </w:r>
          </w:p>
          <w:p w14:paraId="1B24D8AC" w14:textId="1C718185" w:rsidR="00E83CAC" w:rsidRPr="009927CA" w:rsidRDefault="68013F12" w:rsidP="3BE75941">
            <w:pPr>
              <w:pStyle w:val="ListParagraph"/>
              <w:numPr>
                <w:ilvl w:val="1"/>
                <w:numId w:val="5"/>
              </w:numPr>
              <w:rPr>
                <w:rStyle w:val="Emphasis"/>
                <w:sz w:val="20"/>
                <w:szCs w:val="20"/>
                <w:lang w:val="en-GB"/>
              </w:rPr>
            </w:pPr>
            <w:r w:rsidRPr="009927CA">
              <w:rPr>
                <w:sz w:val="20"/>
                <w:szCs w:val="20"/>
                <w:lang w:val="en-GB"/>
              </w:rPr>
              <w:t>Educational correctional measures for children (</w:t>
            </w:r>
            <w:r w:rsidR="55E91DB7" w:rsidRPr="3BE75941">
              <w:rPr>
                <w:sz w:val="20"/>
                <w:szCs w:val="20"/>
                <w:lang w:val="en-GB"/>
              </w:rPr>
              <w:t>s</w:t>
            </w:r>
            <w:r w:rsidR="00A72C06" w:rsidRPr="009927CA">
              <w:rPr>
                <w:sz w:val="20"/>
                <w:szCs w:val="20"/>
                <w:lang w:val="en-GB"/>
              </w:rPr>
              <w:t>pecial form of community supervision of children (11 years+)</w:t>
            </w:r>
            <w:r w:rsidRPr="009927CA">
              <w:rPr>
                <w:sz w:val="20"/>
                <w:szCs w:val="20"/>
                <w:lang w:val="en-GB"/>
              </w:rPr>
              <w:t>)</w:t>
            </w:r>
          </w:p>
          <w:p w14:paraId="40A92959" w14:textId="7F228922" w:rsidR="00E83CAC" w:rsidRPr="009927CA" w:rsidRDefault="65F44461" w:rsidP="00A81EFA">
            <w:pPr>
              <w:pStyle w:val="ListParagraph"/>
              <w:numPr>
                <w:ilvl w:val="0"/>
                <w:numId w:val="5"/>
              </w:numPr>
              <w:rPr>
                <w:rFonts w:cstheme="minorHAnsi"/>
                <w:sz w:val="20"/>
                <w:szCs w:val="20"/>
                <w:lang w:val="en-GB"/>
              </w:rPr>
            </w:pPr>
            <w:r w:rsidRPr="009927CA">
              <w:rPr>
                <w:rFonts w:eastAsia="Verdana" w:cstheme="minorHAnsi"/>
                <w:sz w:val="20"/>
                <w:szCs w:val="20"/>
                <w:lang w:val="en-GB"/>
              </w:rPr>
              <w:t xml:space="preserve">Forms of </w:t>
            </w:r>
            <w:r w:rsidR="469164A8" w:rsidRPr="009927CA">
              <w:rPr>
                <w:rFonts w:eastAsia="Verdana" w:cstheme="minorHAnsi"/>
                <w:sz w:val="20"/>
                <w:szCs w:val="20"/>
                <w:lang w:val="en-GB"/>
              </w:rPr>
              <w:t>Probation after the sentence:</w:t>
            </w:r>
          </w:p>
          <w:p w14:paraId="23D4D614" w14:textId="7739320D" w:rsidR="00E83CAC" w:rsidRPr="009927CA" w:rsidRDefault="25AC394C" w:rsidP="00A81EFA">
            <w:pPr>
              <w:pStyle w:val="ListParagraph"/>
              <w:numPr>
                <w:ilvl w:val="1"/>
                <w:numId w:val="5"/>
              </w:numPr>
              <w:rPr>
                <w:rFonts w:cstheme="minorHAnsi"/>
                <w:sz w:val="20"/>
                <w:szCs w:val="20"/>
                <w:lang w:val="en-GB"/>
              </w:rPr>
            </w:pPr>
            <w:r w:rsidRPr="009927CA">
              <w:rPr>
                <w:rFonts w:cstheme="minorHAnsi"/>
                <w:sz w:val="20"/>
                <w:szCs w:val="20"/>
                <w:lang w:val="en-GB"/>
              </w:rPr>
              <w:t>Fully suspended custodial se</w:t>
            </w:r>
            <w:r w:rsidR="6C79E082" w:rsidRPr="009927CA">
              <w:rPr>
                <w:rFonts w:cstheme="minorHAnsi"/>
                <w:sz w:val="20"/>
                <w:szCs w:val="20"/>
                <w:lang w:val="en-GB"/>
              </w:rPr>
              <w:t>ntence with probation supervision</w:t>
            </w:r>
            <w:r w:rsidR="2FA79A07" w:rsidRPr="009927CA">
              <w:rPr>
                <w:rFonts w:cstheme="minorHAnsi"/>
                <w:sz w:val="20"/>
                <w:szCs w:val="20"/>
                <w:lang w:val="en-GB"/>
              </w:rPr>
              <w:t xml:space="preserve"> </w:t>
            </w:r>
          </w:p>
          <w:p w14:paraId="36081685" w14:textId="43AE2727" w:rsidR="00E83CAC" w:rsidRPr="009927CA" w:rsidRDefault="2FA79A07" w:rsidP="2F0114DB">
            <w:pPr>
              <w:pStyle w:val="ListParagraph"/>
              <w:numPr>
                <w:ilvl w:val="1"/>
                <w:numId w:val="5"/>
              </w:numPr>
              <w:rPr>
                <w:rFonts w:cstheme="minorHAnsi"/>
                <w:sz w:val="20"/>
                <w:szCs w:val="20"/>
                <w:lang w:val="en-GB"/>
              </w:rPr>
            </w:pPr>
            <w:r w:rsidRPr="009927CA">
              <w:rPr>
                <w:rFonts w:cstheme="minorHAnsi"/>
                <w:sz w:val="20"/>
                <w:szCs w:val="20"/>
                <w:lang w:val="en-GB"/>
              </w:rPr>
              <w:t>Community service</w:t>
            </w:r>
          </w:p>
          <w:p w14:paraId="2ACE6A39" w14:textId="04F771E6" w:rsidR="00E83CAC" w:rsidRPr="00A41A72" w:rsidRDefault="79860818" w:rsidP="7A2B0711">
            <w:pPr>
              <w:pStyle w:val="ListParagraph"/>
              <w:numPr>
                <w:ilvl w:val="1"/>
                <w:numId w:val="5"/>
              </w:numPr>
              <w:rPr>
                <w:sz w:val="20"/>
                <w:szCs w:val="20"/>
                <w:lang w:val="en-US"/>
              </w:rPr>
            </w:pPr>
            <w:commentRangeStart w:id="0"/>
            <w:r w:rsidRPr="7A2B0711">
              <w:rPr>
                <w:sz w:val="20"/>
                <w:szCs w:val="20"/>
                <w:lang w:val="en-US"/>
              </w:rPr>
              <w:t>Probation supervision</w:t>
            </w:r>
            <w:commentRangeEnd w:id="0"/>
            <w:r w:rsidRPr="7A2B0711">
              <w:rPr>
                <w:rStyle w:val="CommentReference"/>
                <w:sz w:val="20"/>
                <w:szCs w:val="20"/>
                <w:lang w:val="en-US"/>
              </w:rPr>
              <w:commentReference w:id="0"/>
            </w:r>
            <w:r w:rsidR="00C804F2" w:rsidRPr="7A2B0711">
              <w:rPr>
                <w:sz w:val="20"/>
                <w:szCs w:val="20"/>
                <w:lang w:val="en-US"/>
              </w:rPr>
              <w:t xml:space="preserve"> </w:t>
            </w:r>
          </w:p>
          <w:p w14:paraId="28F88D47" w14:textId="380C5090" w:rsidR="00E83CAC" w:rsidRPr="00A41A72" w:rsidRDefault="66904602" w:rsidP="7A2B0711">
            <w:pPr>
              <w:pStyle w:val="ListParagraph"/>
              <w:numPr>
                <w:ilvl w:val="1"/>
                <w:numId w:val="5"/>
              </w:numPr>
              <w:rPr>
                <w:sz w:val="20"/>
                <w:szCs w:val="20"/>
                <w:lang w:val="en-US"/>
              </w:rPr>
            </w:pPr>
            <w:r w:rsidRPr="7A2B0711">
              <w:rPr>
                <w:sz w:val="20"/>
                <w:szCs w:val="20"/>
                <w:lang w:val="en-US"/>
              </w:rPr>
              <w:t xml:space="preserve">Mixed sanctions (2.1+2.2.; </w:t>
            </w:r>
            <w:r w:rsidR="616C606F" w:rsidRPr="7A2B0711">
              <w:rPr>
                <w:sz w:val="20"/>
                <w:szCs w:val="20"/>
                <w:lang w:val="en-US"/>
              </w:rPr>
              <w:t>2.2.</w:t>
            </w:r>
            <w:r w:rsidR="00A81EFA" w:rsidRPr="7A2B0711">
              <w:rPr>
                <w:sz w:val="20"/>
                <w:szCs w:val="20"/>
                <w:lang w:val="en-US"/>
              </w:rPr>
              <w:t xml:space="preserve"> </w:t>
            </w:r>
            <w:r w:rsidR="616C606F" w:rsidRPr="7A2B0711">
              <w:rPr>
                <w:sz w:val="20"/>
                <w:szCs w:val="20"/>
                <w:lang w:val="en-US"/>
              </w:rPr>
              <w:t>+</w:t>
            </w:r>
            <w:r w:rsidR="00A81EFA" w:rsidRPr="7A2B0711">
              <w:rPr>
                <w:sz w:val="20"/>
                <w:szCs w:val="20"/>
                <w:lang w:val="en-US"/>
              </w:rPr>
              <w:t xml:space="preserve"> </w:t>
            </w:r>
            <w:r w:rsidR="616C606F" w:rsidRPr="7A2B0711">
              <w:rPr>
                <w:sz w:val="20"/>
                <w:szCs w:val="20"/>
                <w:lang w:val="en-US"/>
              </w:rPr>
              <w:t>2.3.)</w:t>
            </w:r>
          </w:p>
          <w:p w14:paraId="380DB064" w14:textId="557B772A" w:rsidR="00E83CAC" w:rsidRPr="00A41A72" w:rsidRDefault="1A02C80A" w:rsidP="7A2B0711">
            <w:pPr>
              <w:pStyle w:val="ListParagraph"/>
              <w:numPr>
                <w:ilvl w:val="0"/>
                <w:numId w:val="5"/>
              </w:numPr>
              <w:rPr>
                <w:sz w:val="20"/>
                <w:szCs w:val="20"/>
                <w:lang w:val="en-US"/>
              </w:rPr>
            </w:pPr>
            <w:r w:rsidRPr="7A2B0711">
              <w:rPr>
                <w:color w:val="000000" w:themeColor="text1"/>
                <w:sz w:val="20"/>
                <w:szCs w:val="20"/>
                <w:lang w:val="en-US"/>
              </w:rPr>
              <w:t xml:space="preserve">Forms of Probation after </w:t>
            </w:r>
            <w:r w:rsidR="412247C6" w:rsidRPr="7A2B0711">
              <w:rPr>
                <w:color w:val="000000" w:themeColor="text1"/>
                <w:sz w:val="20"/>
                <w:szCs w:val="20"/>
                <w:lang w:val="en-US"/>
              </w:rPr>
              <w:t>release from custody:</w:t>
            </w:r>
          </w:p>
          <w:p w14:paraId="7010B445" w14:textId="1727BF00" w:rsidR="00E83CAC" w:rsidRPr="009927CA" w:rsidRDefault="50B712BE" w:rsidP="00A81EFA">
            <w:pPr>
              <w:pStyle w:val="ListParagraph"/>
              <w:numPr>
                <w:ilvl w:val="1"/>
                <w:numId w:val="5"/>
              </w:numPr>
              <w:rPr>
                <w:rFonts w:cstheme="minorHAnsi"/>
                <w:sz w:val="20"/>
                <w:szCs w:val="20"/>
                <w:lang w:val="en-GB"/>
              </w:rPr>
            </w:pPr>
            <w:r w:rsidRPr="009927CA">
              <w:rPr>
                <w:rFonts w:eastAsia="Verdana" w:cstheme="minorHAnsi"/>
                <w:sz w:val="20"/>
                <w:szCs w:val="20"/>
                <w:lang w:val="en-GB"/>
              </w:rPr>
              <w:t xml:space="preserve">Conditional release (parole) with probation supervision </w:t>
            </w:r>
          </w:p>
          <w:p w14:paraId="52D2E9FE" w14:textId="4DC3C6F8" w:rsidR="00E83CAC" w:rsidRPr="009927CA" w:rsidRDefault="7CCE124E" w:rsidP="00A81EFA">
            <w:pPr>
              <w:pStyle w:val="ListParagraph"/>
              <w:numPr>
                <w:ilvl w:val="1"/>
                <w:numId w:val="5"/>
              </w:numPr>
              <w:rPr>
                <w:rFonts w:cstheme="minorHAnsi"/>
                <w:sz w:val="20"/>
                <w:szCs w:val="20"/>
                <w:lang w:val="en-GB"/>
              </w:rPr>
            </w:pPr>
            <w:r w:rsidRPr="009927CA">
              <w:rPr>
                <w:rFonts w:eastAsia="Verdana" w:cstheme="minorHAnsi"/>
                <w:sz w:val="20"/>
                <w:szCs w:val="20"/>
                <w:lang w:val="en-GB"/>
              </w:rPr>
              <w:t xml:space="preserve">Conditional release (parole) with probation supervision and electronic monitoring </w:t>
            </w:r>
          </w:p>
          <w:p w14:paraId="6AB4EF62" w14:textId="57F7B718" w:rsidR="003F4F30" w:rsidRPr="009927CA" w:rsidRDefault="003F4F30" w:rsidP="00A81EFA">
            <w:pPr>
              <w:pStyle w:val="ListParagraph"/>
              <w:numPr>
                <w:ilvl w:val="1"/>
                <w:numId w:val="5"/>
              </w:numPr>
              <w:rPr>
                <w:rFonts w:cstheme="minorHAnsi"/>
                <w:sz w:val="20"/>
                <w:szCs w:val="20"/>
                <w:lang w:val="en-GB"/>
              </w:rPr>
            </w:pPr>
            <w:r w:rsidRPr="009927CA">
              <w:rPr>
                <w:rFonts w:cstheme="minorHAnsi"/>
                <w:sz w:val="20"/>
                <w:szCs w:val="20"/>
                <w:lang w:val="en-GB"/>
              </w:rPr>
              <w:t>Probation supervision as additional punishment</w:t>
            </w:r>
          </w:p>
          <w:p w14:paraId="16BF943A" w14:textId="5D56EFBB" w:rsidR="00E83CAC" w:rsidRPr="009927CA" w:rsidRDefault="00E83CAC" w:rsidP="00A81EFA">
            <w:pPr>
              <w:pStyle w:val="ListParagraph"/>
              <w:ind w:left="1085"/>
              <w:rPr>
                <w:sz w:val="20"/>
                <w:szCs w:val="20"/>
                <w:lang w:val="en-GB"/>
              </w:rPr>
            </w:pPr>
          </w:p>
        </w:tc>
      </w:tr>
      <w:tr w:rsidR="00E83CAC" w:rsidRPr="00A41A72" w14:paraId="0BBB933C" w14:textId="77777777" w:rsidTr="7A2B0711">
        <w:trPr>
          <w:trHeight w:val="495"/>
        </w:trPr>
        <w:tc>
          <w:tcPr>
            <w:tcW w:w="5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B37" w14:textId="558128B1" w:rsidR="00E83CAC" w:rsidRPr="009927CA" w:rsidRDefault="2D4B1865" w:rsidP="2F0114DB">
            <w:pPr>
              <w:ind w:left="5"/>
              <w:jc w:val="both"/>
              <w:rPr>
                <w:lang w:val="en-GB"/>
              </w:rPr>
            </w:pPr>
            <w:r w:rsidRPr="009927CA">
              <w:rPr>
                <w:b/>
                <w:bCs/>
                <w:sz w:val="20"/>
                <w:szCs w:val="20"/>
                <w:lang w:val="en-GB"/>
              </w:rPr>
              <w:t xml:space="preserve">Proportion of probation clients </w:t>
            </w:r>
            <w:r w:rsidR="7FB4B145" w:rsidRPr="009927CA">
              <w:rPr>
                <w:b/>
                <w:bCs/>
                <w:sz w:val="20"/>
                <w:szCs w:val="20"/>
                <w:lang w:val="en-GB"/>
              </w:rPr>
              <w:t xml:space="preserve">placed under probation </w:t>
            </w:r>
            <w:r w:rsidR="484F898C" w:rsidRPr="009927CA">
              <w:rPr>
                <w:b/>
                <w:bCs/>
                <w:sz w:val="20"/>
                <w:szCs w:val="20"/>
                <w:lang w:val="en-GB"/>
              </w:rPr>
              <w:t xml:space="preserve"> before the sentence</w:t>
            </w:r>
            <w:r w:rsidR="00ED385E" w:rsidRPr="009927CA">
              <w:rPr>
                <w:rStyle w:val="FootnoteReference"/>
                <w:lang w:val="en-GB"/>
              </w:rPr>
              <w:footnoteReference w:id="6"/>
            </w:r>
          </w:p>
        </w:tc>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FC3D" w14:textId="7D629A03" w:rsidR="00E83CAC" w:rsidRPr="009927CA" w:rsidRDefault="17A7A095" w:rsidP="00A81EFA">
            <w:pPr>
              <w:jc w:val="left"/>
              <w:rPr>
                <w:b/>
                <w:bCs/>
                <w:sz w:val="20"/>
                <w:szCs w:val="20"/>
                <w:lang w:val="en-GB"/>
              </w:rPr>
            </w:pPr>
            <w:commentRangeStart w:id="1"/>
            <w:commentRangeStart w:id="2"/>
            <w:r w:rsidRPr="009927CA">
              <w:rPr>
                <w:sz w:val="20"/>
                <w:szCs w:val="20"/>
                <w:lang w:val="en-GB"/>
              </w:rPr>
              <w:t>T</w:t>
            </w:r>
            <w:r w:rsidR="68563DC0" w:rsidRPr="009927CA">
              <w:rPr>
                <w:sz w:val="20"/>
                <w:szCs w:val="20"/>
                <w:lang w:val="en-GB"/>
              </w:rPr>
              <w:t>otal (</w:t>
            </w:r>
            <w:r w:rsidR="577417FA" w:rsidRPr="009927CA">
              <w:rPr>
                <w:sz w:val="20"/>
                <w:szCs w:val="20"/>
                <w:lang w:val="en-GB"/>
              </w:rPr>
              <w:t>percentage)</w:t>
            </w:r>
            <w:r w:rsidR="59BE14E0" w:rsidRPr="009927CA">
              <w:rPr>
                <w:sz w:val="20"/>
                <w:szCs w:val="20"/>
                <w:lang w:val="en-GB"/>
              </w:rPr>
              <w:t xml:space="preserve">: </w:t>
            </w:r>
            <w:r w:rsidR="683A8EBA" w:rsidRPr="009927CA">
              <w:rPr>
                <w:b/>
                <w:bCs/>
                <w:sz w:val="20"/>
                <w:szCs w:val="20"/>
                <w:lang w:val="en-GB"/>
              </w:rPr>
              <w:t xml:space="preserve">235 </w:t>
            </w:r>
            <w:r w:rsidR="65DCB503" w:rsidRPr="009927CA">
              <w:rPr>
                <w:b/>
                <w:bCs/>
                <w:sz w:val="20"/>
                <w:szCs w:val="20"/>
                <w:lang w:val="en-GB"/>
              </w:rPr>
              <w:t xml:space="preserve">persons </w:t>
            </w:r>
            <w:r w:rsidR="683A8EBA" w:rsidRPr="009927CA">
              <w:rPr>
                <w:b/>
                <w:bCs/>
                <w:sz w:val="20"/>
                <w:szCs w:val="20"/>
                <w:lang w:val="en-GB"/>
              </w:rPr>
              <w:t>(4,6%)</w:t>
            </w:r>
          </w:p>
          <w:p w14:paraId="1B4341B1" w14:textId="619647AF" w:rsidR="00E83CAC" w:rsidRPr="009927CA" w:rsidRDefault="683A8EBA" w:rsidP="2F0114DB">
            <w:pPr>
              <w:jc w:val="left"/>
              <w:rPr>
                <w:sz w:val="20"/>
                <w:szCs w:val="20"/>
                <w:lang w:val="en-GB"/>
              </w:rPr>
            </w:pPr>
            <w:r w:rsidRPr="009927CA">
              <w:rPr>
                <w:sz w:val="20"/>
                <w:szCs w:val="20"/>
                <w:lang w:val="en-GB"/>
              </w:rPr>
              <w:t>Of which</w:t>
            </w:r>
            <w:commentRangeEnd w:id="2"/>
            <w:r w:rsidR="003F4F30" w:rsidRPr="009927CA">
              <w:rPr>
                <w:rStyle w:val="CommentReference"/>
                <w:sz w:val="20"/>
                <w:szCs w:val="20"/>
                <w:lang w:val="en-GB"/>
              </w:rPr>
              <w:commentReference w:id="2"/>
            </w:r>
            <w:r w:rsidRPr="009927CA">
              <w:rPr>
                <w:sz w:val="20"/>
                <w:szCs w:val="20"/>
                <w:lang w:val="en-GB"/>
              </w:rPr>
              <w:t>:</w:t>
            </w:r>
            <w:commentRangeEnd w:id="1"/>
            <w:r w:rsidR="004F2A3A" w:rsidRPr="009927CA">
              <w:rPr>
                <w:rStyle w:val="CommentReference"/>
                <w:sz w:val="20"/>
                <w:szCs w:val="20"/>
                <w:lang w:val="en-GB"/>
              </w:rPr>
              <w:commentReference w:id="1"/>
            </w:r>
          </w:p>
          <w:p w14:paraId="262E7996" w14:textId="6357B43A" w:rsidR="00E83CAC" w:rsidRPr="009927CA" w:rsidRDefault="6597E3B8" w:rsidP="00A81EFA">
            <w:pPr>
              <w:pStyle w:val="ListParagraph"/>
              <w:numPr>
                <w:ilvl w:val="0"/>
                <w:numId w:val="3"/>
              </w:numPr>
              <w:rPr>
                <w:sz w:val="20"/>
                <w:szCs w:val="20"/>
                <w:lang w:val="en-GB"/>
              </w:rPr>
            </w:pPr>
            <w:r w:rsidRPr="009927CA">
              <w:rPr>
                <w:sz w:val="20"/>
                <w:szCs w:val="20"/>
                <w:lang w:val="en-GB"/>
              </w:rPr>
              <w:t xml:space="preserve">Conditional </w:t>
            </w:r>
            <w:r w:rsidR="7D60A5FB" w:rsidRPr="009927CA">
              <w:rPr>
                <w:sz w:val="20"/>
                <w:szCs w:val="20"/>
                <w:lang w:val="en-GB"/>
              </w:rPr>
              <w:t>suspension of the criminal proceeding</w:t>
            </w:r>
            <w:r w:rsidR="4D85D7A5" w:rsidRPr="009927CA">
              <w:rPr>
                <w:sz w:val="20"/>
                <w:szCs w:val="20"/>
                <w:lang w:val="en-GB"/>
              </w:rPr>
              <w:t>s</w:t>
            </w:r>
            <w:r w:rsidR="7D60A5FB" w:rsidRPr="009927CA">
              <w:rPr>
                <w:sz w:val="20"/>
                <w:szCs w:val="20"/>
                <w:lang w:val="en-GB"/>
              </w:rPr>
              <w:t xml:space="preserve"> with probation supervision</w:t>
            </w:r>
            <w:r w:rsidR="00446F82">
              <w:rPr>
                <w:sz w:val="20"/>
                <w:szCs w:val="20"/>
                <w:lang w:val="en-GB"/>
              </w:rPr>
              <w:t xml:space="preserve"> by the decision of the prosecutor</w:t>
            </w:r>
            <w:r w:rsidR="1DB86163" w:rsidRPr="009927CA">
              <w:rPr>
                <w:sz w:val="20"/>
                <w:szCs w:val="20"/>
                <w:lang w:val="en-GB"/>
              </w:rPr>
              <w:t>:</w:t>
            </w:r>
            <w:r w:rsidR="1DB86163" w:rsidRPr="009927CA">
              <w:rPr>
                <w:b/>
                <w:bCs/>
                <w:sz w:val="20"/>
                <w:szCs w:val="20"/>
                <w:lang w:val="en-GB"/>
              </w:rPr>
              <w:t xml:space="preserve"> 112 (47,7%)</w:t>
            </w:r>
          </w:p>
          <w:p w14:paraId="31D7920D" w14:textId="3E8957CC" w:rsidR="00E83CAC" w:rsidRPr="009927CA" w:rsidRDefault="7D60A5FB" w:rsidP="00A81EFA">
            <w:pPr>
              <w:pStyle w:val="ListParagraph"/>
              <w:numPr>
                <w:ilvl w:val="0"/>
                <w:numId w:val="3"/>
              </w:numPr>
              <w:rPr>
                <w:sz w:val="20"/>
                <w:szCs w:val="20"/>
                <w:lang w:val="en-GB"/>
              </w:rPr>
            </w:pPr>
            <w:r w:rsidRPr="009927CA">
              <w:rPr>
                <w:sz w:val="20"/>
                <w:szCs w:val="20"/>
                <w:lang w:val="en-GB"/>
              </w:rPr>
              <w:t>Victim-offender mediation</w:t>
            </w:r>
            <w:r w:rsidR="5453F977" w:rsidRPr="009927CA">
              <w:rPr>
                <w:sz w:val="20"/>
                <w:szCs w:val="20"/>
                <w:lang w:val="en-GB"/>
              </w:rPr>
              <w:t>:</w:t>
            </w:r>
            <w:r w:rsidR="5DA09C2B" w:rsidRPr="009927CA">
              <w:rPr>
                <w:sz w:val="20"/>
                <w:szCs w:val="20"/>
                <w:lang w:val="en-GB"/>
              </w:rPr>
              <w:t xml:space="preserve"> </w:t>
            </w:r>
            <w:r w:rsidR="5DA09C2B" w:rsidRPr="009927CA">
              <w:rPr>
                <w:b/>
                <w:bCs/>
                <w:sz w:val="20"/>
                <w:szCs w:val="20"/>
                <w:lang w:val="en-GB"/>
              </w:rPr>
              <w:t>111</w:t>
            </w:r>
            <w:r w:rsidR="0C197FFE" w:rsidRPr="009927CA">
              <w:rPr>
                <w:b/>
                <w:bCs/>
                <w:sz w:val="20"/>
                <w:szCs w:val="20"/>
                <w:lang w:val="en-GB"/>
              </w:rPr>
              <w:t xml:space="preserve"> (47,2%)</w:t>
            </w:r>
            <w:r w:rsidR="00710350" w:rsidRPr="009927CA">
              <w:rPr>
                <w:rStyle w:val="FootnoteReference"/>
                <w:b/>
                <w:bCs/>
                <w:sz w:val="20"/>
                <w:szCs w:val="20"/>
                <w:lang w:val="en-GB"/>
              </w:rPr>
              <w:footnoteReference w:id="7"/>
            </w:r>
          </w:p>
          <w:p w14:paraId="39958516" w14:textId="5A3178D2" w:rsidR="00E83CAC" w:rsidRPr="009927CA" w:rsidRDefault="7D60A5FB" w:rsidP="00A81EFA">
            <w:pPr>
              <w:pStyle w:val="ListParagraph"/>
              <w:numPr>
                <w:ilvl w:val="0"/>
                <w:numId w:val="3"/>
              </w:numPr>
              <w:rPr>
                <w:i/>
                <w:iCs/>
                <w:sz w:val="20"/>
                <w:szCs w:val="20"/>
                <w:lang w:val="en-GB"/>
              </w:rPr>
            </w:pPr>
            <w:r w:rsidRPr="009927CA">
              <w:rPr>
                <w:sz w:val="20"/>
                <w:szCs w:val="20"/>
                <w:lang w:val="en-GB"/>
              </w:rPr>
              <w:t>Educational correctional measures for children (</w:t>
            </w:r>
            <w:r w:rsidR="00637063" w:rsidRPr="009927CA">
              <w:rPr>
                <w:sz w:val="20"/>
                <w:szCs w:val="20"/>
                <w:lang w:val="en-GB"/>
              </w:rPr>
              <w:t xml:space="preserve">Community service or </w:t>
            </w:r>
            <w:r w:rsidRPr="009927CA">
              <w:rPr>
                <w:sz w:val="20"/>
                <w:szCs w:val="20"/>
                <w:lang w:val="en-GB"/>
              </w:rPr>
              <w:t>Probation Observation)</w:t>
            </w:r>
            <w:r w:rsidR="1D530044" w:rsidRPr="009927CA">
              <w:rPr>
                <w:sz w:val="20"/>
                <w:szCs w:val="20"/>
                <w:lang w:val="en-GB"/>
              </w:rPr>
              <w:t xml:space="preserve">: </w:t>
            </w:r>
            <w:r w:rsidR="1D530044" w:rsidRPr="009927CA">
              <w:rPr>
                <w:b/>
                <w:bCs/>
                <w:sz w:val="20"/>
                <w:szCs w:val="20"/>
                <w:lang w:val="en-GB"/>
              </w:rPr>
              <w:t>12 (5,1%)</w:t>
            </w:r>
          </w:p>
          <w:p w14:paraId="6A6822BC" w14:textId="14113840" w:rsidR="00E83CAC" w:rsidRPr="008B564C" w:rsidRDefault="00C804F2" w:rsidP="009927CA">
            <w:pPr>
              <w:pStyle w:val="ListParagraph"/>
              <w:numPr>
                <w:ilvl w:val="0"/>
                <w:numId w:val="8"/>
              </w:numPr>
              <w:rPr>
                <w:sz w:val="20"/>
                <w:szCs w:val="20"/>
                <w:lang w:val="en-GB"/>
              </w:rPr>
            </w:pPr>
            <w:r w:rsidRPr="009927CA">
              <w:rPr>
                <w:rStyle w:val="citation-136"/>
                <w:b/>
                <w:bCs/>
                <w:sz w:val="20"/>
                <w:szCs w:val="20"/>
                <w:lang w:val="en-GB"/>
              </w:rPr>
              <w:t>Pre-trial assessment reports</w:t>
            </w:r>
            <w:r w:rsidRPr="009927CA">
              <w:rPr>
                <w:rStyle w:val="citation-136"/>
                <w:sz w:val="20"/>
                <w:szCs w:val="20"/>
                <w:lang w:val="en-GB"/>
              </w:rPr>
              <w:t xml:space="preserve">: A total of </w:t>
            </w:r>
            <w:r w:rsidR="005D0B1E">
              <w:rPr>
                <w:rStyle w:val="citation-136"/>
                <w:sz w:val="20"/>
                <w:szCs w:val="20"/>
                <w:lang w:val="en-GB"/>
              </w:rPr>
              <w:t xml:space="preserve">805 </w:t>
            </w:r>
            <w:r w:rsidRPr="009927CA">
              <w:rPr>
                <w:rStyle w:val="citation-136"/>
                <w:sz w:val="20"/>
                <w:szCs w:val="20"/>
                <w:lang w:val="en-GB"/>
              </w:rPr>
              <w:t xml:space="preserve">requests were received to evaluate the </w:t>
            </w:r>
            <w:r w:rsidRPr="009927CA">
              <w:rPr>
                <w:rStyle w:val="citation-136"/>
                <w:sz w:val="20"/>
                <w:szCs w:val="20"/>
                <w:lang w:val="en-GB"/>
              </w:rPr>
              <w:lastRenderedPageBreak/>
              <w:t>most appropriate sentence or educational measures for the individuals</w:t>
            </w:r>
            <w:r w:rsidRPr="009927CA">
              <w:rPr>
                <w:sz w:val="20"/>
                <w:szCs w:val="20"/>
                <w:lang w:val="en-GB"/>
              </w:rPr>
              <w:t>.</w:t>
            </w:r>
            <w:r w:rsidR="00AB05A8">
              <w:rPr>
                <w:rStyle w:val="FootnoteReference"/>
                <w:sz w:val="20"/>
                <w:szCs w:val="20"/>
                <w:lang w:val="en-GB"/>
              </w:rPr>
              <w:footnoteReference w:id="8"/>
            </w:r>
          </w:p>
        </w:tc>
      </w:tr>
      <w:tr w:rsidR="00E83CAC" w:rsidRPr="00A41A72" w14:paraId="34B3583D" w14:textId="77777777" w:rsidTr="7A2B0711">
        <w:trPr>
          <w:trHeight w:val="495"/>
        </w:trPr>
        <w:tc>
          <w:tcPr>
            <w:tcW w:w="5645" w:type="dxa"/>
            <w:tcBorders>
              <w:top w:val="single" w:sz="4" w:space="0" w:color="000000" w:themeColor="text1"/>
              <w:left w:val="single" w:sz="4" w:space="0" w:color="000000" w:themeColor="text1"/>
              <w:bottom w:val="single" w:sz="4" w:space="0" w:color="auto"/>
              <w:right w:val="single" w:sz="4" w:space="0" w:color="000000" w:themeColor="text1"/>
            </w:tcBorders>
          </w:tcPr>
          <w:p w14:paraId="257C64C8" w14:textId="4ABB64EB" w:rsidR="00E83CAC" w:rsidRPr="008B564C" w:rsidRDefault="2D1F8CC1" w:rsidP="2F0114DB">
            <w:pPr>
              <w:ind w:left="5"/>
              <w:jc w:val="both"/>
              <w:rPr>
                <w:lang w:val="en-GB"/>
              </w:rPr>
            </w:pPr>
            <w:r w:rsidRPr="008B564C">
              <w:rPr>
                <w:b/>
                <w:bCs/>
                <w:sz w:val="20"/>
                <w:szCs w:val="20"/>
                <w:lang w:val="en-GB"/>
              </w:rPr>
              <w:lastRenderedPageBreak/>
              <w:t xml:space="preserve">Proportion of probation clients </w:t>
            </w:r>
            <w:r w:rsidR="5659A289" w:rsidRPr="008B564C">
              <w:rPr>
                <w:b/>
                <w:bCs/>
                <w:sz w:val="20"/>
                <w:szCs w:val="20"/>
                <w:lang w:val="en-GB"/>
              </w:rPr>
              <w:t>placed under probation after the sentence</w:t>
            </w:r>
            <w:r w:rsidR="00ED385E" w:rsidRPr="008B564C">
              <w:rPr>
                <w:rStyle w:val="FootnoteReference"/>
                <w:lang w:val="en-GB"/>
              </w:rPr>
              <w:footnoteReference w:id="9"/>
            </w:r>
          </w:p>
        </w:tc>
        <w:tc>
          <w:tcPr>
            <w:tcW w:w="4799"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14:paraId="60B3D64A" w14:textId="32782FA5" w:rsidR="00E83CAC" w:rsidRPr="008B564C" w:rsidRDefault="27B2A76C" w:rsidP="00A81EFA">
            <w:pPr>
              <w:jc w:val="left"/>
              <w:rPr>
                <w:b/>
                <w:bCs/>
                <w:sz w:val="20"/>
                <w:szCs w:val="20"/>
                <w:lang w:val="en-GB"/>
              </w:rPr>
            </w:pPr>
            <w:r w:rsidRPr="008B564C">
              <w:rPr>
                <w:sz w:val="20"/>
                <w:szCs w:val="20"/>
                <w:lang w:val="en-GB"/>
              </w:rPr>
              <w:t>Total (percentage):</w:t>
            </w:r>
            <w:r w:rsidR="2E09958D" w:rsidRPr="008B564C">
              <w:rPr>
                <w:sz w:val="20"/>
                <w:szCs w:val="20"/>
                <w:lang w:val="en-GB"/>
              </w:rPr>
              <w:t xml:space="preserve"> </w:t>
            </w:r>
            <w:r w:rsidRPr="008B564C">
              <w:rPr>
                <w:b/>
                <w:bCs/>
                <w:sz w:val="20"/>
                <w:szCs w:val="20"/>
                <w:lang w:val="en-GB"/>
              </w:rPr>
              <w:t>4773 (93,4%)</w:t>
            </w:r>
          </w:p>
          <w:p w14:paraId="295D247C" w14:textId="2964A68B" w:rsidR="00E83CAC" w:rsidRPr="008B564C" w:rsidRDefault="27B2A76C" w:rsidP="2F0114DB">
            <w:pPr>
              <w:jc w:val="left"/>
              <w:rPr>
                <w:sz w:val="20"/>
                <w:szCs w:val="20"/>
                <w:lang w:val="en-GB"/>
              </w:rPr>
            </w:pPr>
            <w:r w:rsidRPr="008B564C">
              <w:rPr>
                <w:sz w:val="20"/>
                <w:szCs w:val="20"/>
                <w:lang w:val="en-GB"/>
              </w:rPr>
              <w:t xml:space="preserve">Of which: </w:t>
            </w:r>
          </w:p>
          <w:p w14:paraId="42B21AC8" w14:textId="7393E337" w:rsidR="00E83CAC" w:rsidRPr="008B564C" w:rsidRDefault="27B2A76C" w:rsidP="00A81EFA">
            <w:pPr>
              <w:pStyle w:val="ListParagraph"/>
              <w:numPr>
                <w:ilvl w:val="0"/>
                <w:numId w:val="2"/>
              </w:numPr>
              <w:rPr>
                <w:sz w:val="20"/>
                <w:szCs w:val="20"/>
                <w:lang w:val="en-GB"/>
              </w:rPr>
            </w:pPr>
            <w:r w:rsidRPr="008B564C">
              <w:rPr>
                <w:sz w:val="20"/>
                <w:szCs w:val="20"/>
                <w:lang w:val="en-GB"/>
              </w:rPr>
              <w:t>Fully suspended custodial sentence with probation supervisio</w:t>
            </w:r>
            <w:r w:rsidR="464CBF7E" w:rsidRPr="008B564C">
              <w:rPr>
                <w:sz w:val="20"/>
                <w:szCs w:val="20"/>
                <w:lang w:val="en-GB"/>
              </w:rPr>
              <w:t xml:space="preserve">n: </w:t>
            </w:r>
            <w:r w:rsidR="464CBF7E" w:rsidRPr="008B564C">
              <w:rPr>
                <w:b/>
                <w:bCs/>
                <w:sz w:val="20"/>
                <w:szCs w:val="20"/>
                <w:lang w:val="en-GB"/>
              </w:rPr>
              <w:t>1529 (32,1%)</w:t>
            </w:r>
            <w:r w:rsidRPr="008B564C">
              <w:rPr>
                <w:sz w:val="20"/>
                <w:szCs w:val="20"/>
                <w:lang w:val="en-GB"/>
              </w:rPr>
              <w:t xml:space="preserve"> </w:t>
            </w:r>
          </w:p>
          <w:p w14:paraId="6211B3E0" w14:textId="31436E90" w:rsidR="00E83CAC" w:rsidRPr="008B564C" w:rsidRDefault="27B2A76C" w:rsidP="00A81EFA">
            <w:pPr>
              <w:pStyle w:val="ListParagraph"/>
              <w:numPr>
                <w:ilvl w:val="0"/>
                <w:numId w:val="2"/>
              </w:numPr>
              <w:rPr>
                <w:sz w:val="20"/>
                <w:szCs w:val="20"/>
                <w:lang w:val="en-GB"/>
              </w:rPr>
            </w:pPr>
            <w:r w:rsidRPr="008B564C">
              <w:rPr>
                <w:sz w:val="20"/>
                <w:szCs w:val="20"/>
                <w:lang w:val="en-GB"/>
              </w:rPr>
              <w:t>Community service</w:t>
            </w:r>
            <w:r w:rsidR="7205DDC8" w:rsidRPr="008B564C">
              <w:rPr>
                <w:sz w:val="20"/>
                <w:szCs w:val="20"/>
                <w:lang w:val="en-GB"/>
              </w:rPr>
              <w:t xml:space="preserve">: </w:t>
            </w:r>
            <w:r w:rsidR="7205DDC8" w:rsidRPr="008B564C">
              <w:rPr>
                <w:b/>
                <w:bCs/>
                <w:sz w:val="20"/>
                <w:szCs w:val="20"/>
                <w:lang w:val="en-GB"/>
              </w:rPr>
              <w:t>2421 (50,7%)</w:t>
            </w:r>
          </w:p>
          <w:p w14:paraId="58FF38F3" w14:textId="00D3DA8D" w:rsidR="00E83CAC" w:rsidRPr="008B564C" w:rsidRDefault="27B2A76C" w:rsidP="00A81EFA">
            <w:pPr>
              <w:pStyle w:val="ListParagraph"/>
              <w:numPr>
                <w:ilvl w:val="0"/>
                <w:numId w:val="2"/>
              </w:numPr>
              <w:rPr>
                <w:sz w:val="20"/>
                <w:szCs w:val="20"/>
                <w:lang w:val="en-GB"/>
              </w:rPr>
            </w:pPr>
            <w:r w:rsidRPr="008B564C">
              <w:rPr>
                <w:sz w:val="20"/>
                <w:szCs w:val="20"/>
                <w:lang w:val="en-GB"/>
              </w:rPr>
              <w:t>Probation supervision</w:t>
            </w:r>
            <w:r w:rsidR="4C272636" w:rsidRPr="008B564C">
              <w:rPr>
                <w:sz w:val="20"/>
                <w:szCs w:val="20"/>
                <w:lang w:val="en-GB"/>
              </w:rPr>
              <w:t xml:space="preserve">: </w:t>
            </w:r>
            <w:r w:rsidR="4C272636" w:rsidRPr="008B564C">
              <w:rPr>
                <w:b/>
                <w:bCs/>
                <w:sz w:val="20"/>
                <w:szCs w:val="20"/>
                <w:lang w:val="en-GB"/>
              </w:rPr>
              <w:t>556 (11,6%)</w:t>
            </w:r>
          </w:p>
          <w:p w14:paraId="29F4E43F" w14:textId="7F3C8868" w:rsidR="00E83CAC" w:rsidRPr="008B564C" w:rsidRDefault="27B2A76C" w:rsidP="00A81EFA">
            <w:pPr>
              <w:pStyle w:val="ListParagraph"/>
              <w:numPr>
                <w:ilvl w:val="0"/>
                <w:numId w:val="2"/>
              </w:numPr>
              <w:rPr>
                <w:sz w:val="20"/>
                <w:szCs w:val="20"/>
                <w:lang w:val="en-GB"/>
              </w:rPr>
            </w:pPr>
            <w:r w:rsidRPr="008B564C">
              <w:rPr>
                <w:color w:val="000000" w:themeColor="text1"/>
                <w:sz w:val="20"/>
                <w:szCs w:val="20"/>
                <w:lang w:val="en-GB"/>
              </w:rPr>
              <w:t>Mixed sanctions (</w:t>
            </w:r>
            <w:r w:rsidR="4EDD11A1" w:rsidRPr="00A41A72">
              <w:rPr>
                <w:color w:val="000000" w:themeColor="text1"/>
                <w:sz w:val="20"/>
                <w:szCs w:val="20"/>
                <w:lang w:val="en-GB"/>
              </w:rPr>
              <w:t xml:space="preserve">Community service and Probation supervision or </w:t>
            </w:r>
            <w:r w:rsidR="1889DA36" w:rsidRPr="008B564C">
              <w:rPr>
                <w:color w:val="000000" w:themeColor="text1"/>
                <w:sz w:val="20"/>
                <w:szCs w:val="20"/>
                <w:lang w:val="en-GB"/>
              </w:rPr>
              <w:t>F</w:t>
            </w:r>
            <w:r w:rsidR="1889DA36" w:rsidRPr="00A41A72">
              <w:rPr>
                <w:color w:val="000000" w:themeColor="text1"/>
                <w:sz w:val="20"/>
                <w:szCs w:val="20"/>
                <w:lang w:val="en-GB"/>
              </w:rPr>
              <w:t xml:space="preserve">ully suspended custodial sentence with probation and Community Service): </w:t>
            </w:r>
            <w:r w:rsidR="1889DA36" w:rsidRPr="00A41A72">
              <w:rPr>
                <w:b/>
                <w:bCs/>
                <w:color w:val="000000" w:themeColor="text1"/>
                <w:sz w:val="20"/>
                <w:szCs w:val="20"/>
                <w:lang w:val="en-GB"/>
              </w:rPr>
              <w:t>267 (5,6%</w:t>
            </w:r>
            <w:r w:rsidR="1889DA36" w:rsidRPr="00A41A72">
              <w:rPr>
                <w:rFonts w:ascii="Arial" w:eastAsia="Arial" w:hAnsi="Arial" w:cs="Arial"/>
                <w:b/>
                <w:bCs/>
                <w:sz w:val="20"/>
                <w:szCs w:val="20"/>
                <w:lang w:val="en-GB"/>
              </w:rPr>
              <w:t>)</w:t>
            </w:r>
          </w:p>
          <w:p w14:paraId="37ED1DAF" w14:textId="1C111406" w:rsidR="00E83CAC" w:rsidRPr="008B564C" w:rsidRDefault="00E83CAC">
            <w:pPr>
              <w:ind w:left="5"/>
              <w:jc w:val="left"/>
              <w:rPr>
                <w:sz w:val="20"/>
                <w:szCs w:val="20"/>
                <w:lang w:val="en-GB"/>
              </w:rPr>
            </w:pPr>
          </w:p>
        </w:tc>
      </w:tr>
      <w:tr w:rsidR="00E83CAC" w:rsidRPr="00A41A72" w14:paraId="45DA0E3D" w14:textId="77777777" w:rsidTr="7A2B0711">
        <w:trPr>
          <w:trHeight w:val="500"/>
        </w:trPr>
        <w:tc>
          <w:tcPr>
            <w:tcW w:w="5645" w:type="dxa"/>
            <w:tcBorders>
              <w:top w:val="single" w:sz="4" w:space="0" w:color="auto"/>
              <w:left w:val="single" w:sz="4" w:space="0" w:color="auto"/>
              <w:bottom w:val="single" w:sz="4" w:space="0" w:color="auto"/>
              <w:right w:val="single" w:sz="4" w:space="0" w:color="auto"/>
            </w:tcBorders>
          </w:tcPr>
          <w:p w14:paraId="50D03820" w14:textId="4CD7BE78" w:rsidR="00E83CAC" w:rsidRPr="008B564C" w:rsidRDefault="2D1F8CC1" w:rsidP="2F0114DB">
            <w:pPr>
              <w:ind w:left="5"/>
              <w:jc w:val="both"/>
              <w:rPr>
                <w:lang w:val="en-GB"/>
              </w:rPr>
            </w:pPr>
            <w:r w:rsidRPr="008B564C">
              <w:rPr>
                <w:b/>
                <w:bCs/>
                <w:sz w:val="20"/>
                <w:szCs w:val="20"/>
                <w:lang w:val="en-GB"/>
              </w:rPr>
              <w:t xml:space="preserve">Proportion of probation clients </w:t>
            </w:r>
            <w:r w:rsidR="674F0B8C" w:rsidRPr="008B564C">
              <w:rPr>
                <w:b/>
                <w:bCs/>
                <w:sz w:val="20"/>
                <w:szCs w:val="20"/>
                <w:lang w:val="en-GB"/>
              </w:rPr>
              <w:t>placed under probation</w:t>
            </w:r>
            <w:r w:rsidR="7CD07A1F" w:rsidRPr="008B564C">
              <w:rPr>
                <w:b/>
                <w:bCs/>
                <w:sz w:val="20"/>
                <w:szCs w:val="20"/>
                <w:lang w:val="en-GB"/>
              </w:rPr>
              <w:t xml:space="preserve"> after release from custody</w:t>
            </w:r>
            <w:r w:rsidR="00ED385E" w:rsidRPr="008B564C">
              <w:rPr>
                <w:rStyle w:val="FootnoteReference"/>
                <w:lang w:val="en-GB"/>
              </w:rPr>
              <w:footnoteReference w:id="10"/>
            </w:r>
          </w:p>
        </w:tc>
        <w:tc>
          <w:tcPr>
            <w:tcW w:w="4799" w:type="dxa"/>
            <w:gridSpan w:val="5"/>
            <w:tcBorders>
              <w:top w:val="single" w:sz="4" w:space="0" w:color="auto"/>
              <w:left w:val="single" w:sz="4" w:space="0" w:color="auto"/>
              <w:bottom w:val="single" w:sz="4" w:space="0" w:color="auto"/>
              <w:right w:val="single" w:sz="4" w:space="0" w:color="auto"/>
            </w:tcBorders>
          </w:tcPr>
          <w:p w14:paraId="46BC08C3" w14:textId="06719C24" w:rsidR="00E83CAC" w:rsidRPr="009F3959" w:rsidRDefault="5484224C" w:rsidP="00A81EFA">
            <w:pPr>
              <w:jc w:val="left"/>
              <w:rPr>
                <w:sz w:val="20"/>
                <w:szCs w:val="20"/>
                <w:lang w:val="en-GB"/>
              </w:rPr>
            </w:pPr>
            <w:commentRangeStart w:id="3"/>
            <w:r w:rsidRPr="008B564C">
              <w:rPr>
                <w:sz w:val="20"/>
                <w:szCs w:val="20"/>
                <w:lang w:val="en-GB"/>
              </w:rPr>
              <w:t>T</w:t>
            </w:r>
            <w:r w:rsidRPr="008B564C">
              <w:rPr>
                <w:rFonts w:asciiTheme="minorHAnsi" w:eastAsiaTheme="minorEastAsia" w:hAnsiTheme="minorHAnsi" w:cstheme="minorBidi"/>
                <w:color w:val="000000" w:themeColor="text1"/>
                <w:sz w:val="20"/>
                <w:szCs w:val="20"/>
                <w:lang w:val="en-GB"/>
              </w:rPr>
              <w:t xml:space="preserve">otal (percentage): </w:t>
            </w:r>
            <w:r w:rsidRPr="008B564C">
              <w:rPr>
                <w:rFonts w:asciiTheme="minorHAnsi" w:eastAsiaTheme="minorEastAsia" w:hAnsiTheme="minorHAnsi" w:cstheme="minorBidi"/>
                <w:b/>
                <w:bCs/>
                <w:color w:val="000000" w:themeColor="text1"/>
                <w:sz w:val="20"/>
                <w:szCs w:val="20"/>
                <w:lang w:val="en-GB"/>
              </w:rPr>
              <w:t>103 (2%)</w:t>
            </w:r>
            <w:r w:rsidR="009F3959">
              <w:rPr>
                <w:rStyle w:val="FootnoteReference"/>
                <w:color w:val="000000" w:themeColor="text1"/>
                <w:sz w:val="20"/>
                <w:szCs w:val="20"/>
                <w:lang w:val="en-GB"/>
              </w:rPr>
              <w:footnoteReference w:id="11"/>
            </w:r>
            <w:commentRangeEnd w:id="3"/>
            <w:r w:rsidR="004F2A3A" w:rsidRPr="009F3959">
              <w:rPr>
                <w:rStyle w:val="CommentReference"/>
                <w:sz w:val="20"/>
                <w:szCs w:val="20"/>
                <w:lang w:val="en-GB"/>
              </w:rPr>
              <w:commentReference w:id="3"/>
            </w:r>
          </w:p>
          <w:p w14:paraId="00BE360B" w14:textId="423C4EB7" w:rsidR="00E83CAC" w:rsidRPr="009F3959" w:rsidRDefault="608E55C6" w:rsidP="2F0114DB">
            <w:pPr>
              <w:jc w:val="left"/>
              <w:rPr>
                <w:sz w:val="20"/>
                <w:szCs w:val="20"/>
                <w:lang w:val="en-GB"/>
              </w:rPr>
            </w:pPr>
            <w:r w:rsidRPr="009F3959">
              <w:rPr>
                <w:rFonts w:asciiTheme="minorHAnsi" w:eastAsiaTheme="minorEastAsia" w:hAnsiTheme="minorHAnsi" w:cstheme="minorBidi"/>
                <w:color w:val="000000" w:themeColor="text1"/>
                <w:sz w:val="20"/>
                <w:szCs w:val="20"/>
                <w:lang w:val="en-GB"/>
              </w:rPr>
              <w:t>Of which:</w:t>
            </w:r>
          </w:p>
          <w:p w14:paraId="2284451C" w14:textId="1E4D0D6C" w:rsidR="00E83CAC" w:rsidRPr="009F3959" w:rsidRDefault="5484224C" w:rsidP="00A81EFA">
            <w:pPr>
              <w:pStyle w:val="ListParagraph"/>
              <w:numPr>
                <w:ilvl w:val="0"/>
                <w:numId w:val="1"/>
              </w:numPr>
              <w:rPr>
                <w:sz w:val="20"/>
                <w:szCs w:val="20"/>
                <w:lang w:val="en-GB"/>
              </w:rPr>
            </w:pPr>
            <w:r w:rsidRPr="00A41A72">
              <w:rPr>
                <w:color w:val="000000" w:themeColor="text1"/>
                <w:sz w:val="20"/>
                <w:szCs w:val="20"/>
                <w:lang w:val="en-GB"/>
              </w:rPr>
              <w:t>Conditional release (parole) with probation supervision</w:t>
            </w:r>
            <w:r w:rsidRPr="009F3959">
              <w:rPr>
                <w:color w:val="000000" w:themeColor="text1"/>
                <w:sz w:val="20"/>
                <w:szCs w:val="20"/>
                <w:lang w:val="en-GB"/>
              </w:rPr>
              <w:t xml:space="preserve"> </w:t>
            </w:r>
            <w:r w:rsidR="28354FF1" w:rsidRPr="009F3959">
              <w:rPr>
                <w:b/>
                <w:bCs/>
                <w:color w:val="000000" w:themeColor="text1"/>
                <w:sz w:val="20"/>
                <w:szCs w:val="20"/>
                <w:lang w:val="en-GB"/>
              </w:rPr>
              <w:t>72 (69%)</w:t>
            </w:r>
          </w:p>
          <w:p w14:paraId="6EDB6604" w14:textId="77777777" w:rsidR="00F4136C" w:rsidRPr="009F3959" w:rsidRDefault="5484224C">
            <w:pPr>
              <w:pStyle w:val="ListParagraph"/>
              <w:numPr>
                <w:ilvl w:val="0"/>
                <w:numId w:val="1"/>
              </w:numPr>
              <w:rPr>
                <w:color w:val="000000" w:themeColor="text1"/>
                <w:sz w:val="20"/>
                <w:szCs w:val="20"/>
                <w:lang w:val="en-GB"/>
              </w:rPr>
            </w:pPr>
            <w:r w:rsidRPr="00A41A72">
              <w:rPr>
                <w:color w:val="000000" w:themeColor="text1"/>
                <w:sz w:val="20"/>
                <w:szCs w:val="20"/>
                <w:lang w:val="en-GB"/>
              </w:rPr>
              <w:t>Conditional release (parole) with probation supervision and electronic monitoring</w:t>
            </w:r>
            <w:r w:rsidR="59133635" w:rsidRPr="00A41A72">
              <w:rPr>
                <w:color w:val="000000" w:themeColor="text1"/>
                <w:sz w:val="20"/>
                <w:szCs w:val="20"/>
                <w:lang w:val="en-GB"/>
              </w:rPr>
              <w:t xml:space="preserve"> </w:t>
            </w:r>
            <w:r w:rsidR="59133635" w:rsidRPr="00A41A72">
              <w:rPr>
                <w:b/>
                <w:bCs/>
                <w:color w:val="000000" w:themeColor="text1"/>
                <w:sz w:val="20"/>
                <w:szCs w:val="20"/>
                <w:lang w:val="en-GB"/>
              </w:rPr>
              <w:t>31 (30,1%)</w:t>
            </w:r>
          </w:p>
          <w:p w14:paraId="1DF1DD2E" w14:textId="3EAC4412" w:rsidR="00791AAC" w:rsidRPr="00EF0465" w:rsidRDefault="00791AAC" w:rsidP="00EF0465">
            <w:pPr>
              <w:jc w:val="both"/>
              <w:rPr>
                <w:color w:val="000000" w:themeColor="text1"/>
                <w:sz w:val="20"/>
                <w:szCs w:val="20"/>
                <w:lang w:val="en-GB"/>
              </w:rPr>
            </w:pPr>
          </w:p>
        </w:tc>
      </w:tr>
      <w:tr w:rsidR="00E83CAC" w:rsidRPr="00A41A72" w14:paraId="177994AC" w14:textId="77777777" w:rsidTr="7A2B0711">
        <w:trPr>
          <w:trHeight w:val="210"/>
        </w:trPr>
        <w:tc>
          <w:tcPr>
            <w:tcW w:w="5645" w:type="dxa"/>
            <w:vMerge w:val="restart"/>
            <w:tcBorders>
              <w:top w:val="single" w:sz="4" w:space="0" w:color="auto"/>
              <w:left w:val="single" w:sz="4" w:space="0" w:color="auto"/>
              <w:bottom w:val="single" w:sz="4" w:space="0" w:color="auto"/>
              <w:right w:val="single" w:sz="4" w:space="0" w:color="auto"/>
            </w:tcBorders>
          </w:tcPr>
          <w:p w14:paraId="7685AE9B" w14:textId="45977BFB" w:rsidR="00E83CAC" w:rsidRPr="009F3959" w:rsidRDefault="76BC4195">
            <w:pPr>
              <w:ind w:left="5" w:right="485"/>
              <w:jc w:val="both"/>
              <w:rPr>
                <w:lang w:val="en-GB"/>
              </w:rPr>
            </w:pPr>
            <w:r w:rsidRPr="009F3959">
              <w:rPr>
                <w:b/>
                <w:bCs/>
                <w:sz w:val="20"/>
                <w:szCs w:val="20"/>
                <w:lang w:val="en-GB"/>
              </w:rPr>
              <w:t xml:space="preserve">Community corrections trend (year, </w:t>
            </w:r>
            <w:r w:rsidRPr="009F3959">
              <w:rPr>
                <w:rFonts w:asciiTheme="minorHAnsi" w:eastAsiaTheme="minorEastAsia" w:hAnsiTheme="minorHAnsi" w:cstheme="minorBidi"/>
                <w:b/>
                <w:bCs/>
                <w:color w:val="000000" w:themeColor="text1"/>
                <w:sz w:val="20"/>
                <w:szCs w:val="20"/>
                <w:lang w:val="en-GB"/>
              </w:rPr>
              <w:t>community corrections population total, rate = total community corrections population per 100,000 persons)</w:t>
            </w:r>
            <w:r w:rsidR="00ED385E" w:rsidRPr="009F3959">
              <w:rPr>
                <w:rStyle w:val="FootnoteReference"/>
                <w:rFonts w:asciiTheme="minorHAnsi" w:eastAsiaTheme="minorEastAsia" w:hAnsiTheme="minorHAnsi" w:cstheme="minorBidi"/>
                <w:color w:val="000000" w:themeColor="text1"/>
                <w:szCs w:val="24"/>
                <w:lang w:val="en-GB"/>
              </w:rPr>
              <w:footnoteReference w:id="12"/>
            </w:r>
          </w:p>
        </w:tc>
        <w:tc>
          <w:tcPr>
            <w:tcW w:w="261" w:type="dxa"/>
            <w:vMerge w:val="restart"/>
            <w:tcBorders>
              <w:top w:val="single" w:sz="4" w:space="0" w:color="auto"/>
              <w:left w:val="single" w:sz="4" w:space="0" w:color="auto"/>
              <w:bottom w:val="single" w:sz="4" w:space="0" w:color="auto"/>
              <w:right w:val="single" w:sz="4" w:space="0" w:color="auto"/>
            </w:tcBorders>
            <w:vAlign w:val="bottom"/>
          </w:tcPr>
          <w:p w14:paraId="29D6B04F" w14:textId="77777777" w:rsidR="00E83CAC" w:rsidRPr="009F3959" w:rsidRDefault="005B57B4">
            <w:pPr>
              <w:rPr>
                <w:lang w:val="en-GB"/>
              </w:rPr>
            </w:pPr>
            <w:r w:rsidRPr="009F3959">
              <w:rPr>
                <w:sz w:val="2"/>
                <w:lang w:val="en-GB"/>
              </w:rPr>
              <w:t xml:space="preserve"> </w:t>
            </w:r>
          </w:p>
        </w:tc>
        <w:tc>
          <w:tcPr>
            <w:tcW w:w="1421" w:type="dxa"/>
            <w:tcBorders>
              <w:top w:val="single" w:sz="4" w:space="0" w:color="auto"/>
              <w:left w:val="single" w:sz="4" w:space="0" w:color="auto"/>
              <w:bottom w:val="single" w:sz="4" w:space="0" w:color="auto"/>
              <w:right w:val="single" w:sz="4" w:space="0" w:color="auto"/>
            </w:tcBorders>
          </w:tcPr>
          <w:p w14:paraId="42B71CCD" w14:textId="77777777" w:rsidR="00E83CAC" w:rsidRPr="009F3959" w:rsidRDefault="005B57B4">
            <w:pPr>
              <w:jc w:val="left"/>
              <w:rPr>
                <w:lang w:val="en-GB"/>
              </w:rPr>
            </w:pPr>
            <w:r w:rsidRPr="009F3959">
              <w:rPr>
                <w:sz w:val="16"/>
                <w:lang w:val="en-GB"/>
              </w:rPr>
              <w:t>20</w:t>
            </w:r>
            <w:r w:rsidR="002A34DD" w:rsidRPr="009F3959">
              <w:rPr>
                <w:sz w:val="16"/>
                <w:lang w:val="en-GB"/>
              </w:rPr>
              <w:t>20</w:t>
            </w:r>
          </w:p>
        </w:tc>
        <w:tc>
          <w:tcPr>
            <w:tcW w:w="1430" w:type="dxa"/>
            <w:tcBorders>
              <w:top w:val="single" w:sz="4" w:space="0" w:color="auto"/>
              <w:left w:val="single" w:sz="4" w:space="0" w:color="auto"/>
              <w:bottom w:val="single" w:sz="4" w:space="0" w:color="auto"/>
              <w:right w:val="single" w:sz="4" w:space="0" w:color="auto"/>
            </w:tcBorders>
          </w:tcPr>
          <w:p w14:paraId="0ED312FD" w14:textId="0C53C903" w:rsidR="00E83CAC" w:rsidRPr="009F3959" w:rsidRDefault="502EECB3" w:rsidP="00A81EFA">
            <w:pPr>
              <w:jc w:val="left"/>
              <w:rPr>
                <w:sz w:val="16"/>
                <w:lang w:val="en-GB"/>
              </w:rPr>
            </w:pPr>
            <w:r w:rsidRPr="009F3959">
              <w:rPr>
                <w:sz w:val="16"/>
                <w:lang w:val="en-GB"/>
              </w:rPr>
              <w:t>5 673</w:t>
            </w:r>
          </w:p>
        </w:tc>
        <w:tc>
          <w:tcPr>
            <w:tcW w:w="1426" w:type="dxa"/>
            <w:tcBorders>
              <w:top w:val="single" w:sz="4" w:space="0" w:color="auto"/>
              <w:left w:val="single" w:sz="4" w:space="0" w:color="auto"/>
              <w:bottom w:val="single" w:sz="4" w:space="0" w:color="auto"/>
              <w:right w:val="single" w:sz="4" w:space="0" w:color="auto"/>
            </w:tcBorders>
          </w:tcPr>
          <w:p w14:paraId="0A37501D" w14:textId="4187C7E6" w:rsidR="00E83CAC" w:rsidRPr="009F3959" w:rsidRDefault="502EECB3" w:rsidP="00A81EFA">
            <w:pPr>
              <w:jc w:val="left"/>
              <w:rPr>
                <w:sz w:val="16"/>
                <w:lang w:val="en-GB"/>
              </w:rPr>
            </w:pPr>
            <w:r w:rsidRPr="009F3959">
              <w:rPr>
                <w:sz w:val="16"/>
                <w:lang w:val="en-GB"/>
              </w:rPr>
              <w:t>297,4</w:t>
            </w:r>
          </w:p>
        </w:tc>
        <w:tc>
          <w:tcPr>
            <w:tcW w:w="261" w:type="dxa"/>
            <w:vMerge w:val="restart"/>
            <w:tcBorders>
              <w:top w:val="single" w:sz="4" w:space="0" w:color="auto"/>
              <w:left w:val="single" w:sz="4" w:space="0" w:color="auto"/>
              <w:bottom w:val="single" w:sz="4" w:space="0" w:color="auto"/>
              <w:right w:val="single" w:sz="4" w:space="0" w:color="auto"/>
            </w:tcBorders>
          </w:tcPr>
          <w:p w14:paraId="5DAB6C7B" w14:textId="77777777" w:rsidR="00E83CAC" w:rsidRPr="009F3959" w:rsidRDefault="00E83CAC">
            <w:pPr>
              <w:spacing w:after="160"/>
              <w:jc w:val="left"/>
              <w:rPr>
                <w:lang w:val="en-GB"/>
              </w:rPr>
            </w:pPr>
          </w:p>
        </w:tc>
      </w:tr>
      <w:tr w:rsidR="00E83CAC" w:rsidRPr="00A41A72" w14:paraId="71908E38" w14:textId="77777777" w:rsidTr="7A2B0711">
        <w:trPr>
          <w:trHeight w:val="206"/>
        </w:trPr>
        <w:tc>
          <w:tcPr>
            <w:tcW w:w="5645" w:type="dxa"/>
            <w:vMerge/>
          </w:tcPr>
          <w:p w14:paraId="02EB378F" w14:textId="77777777" w:rsidR="00E83CAC" w:rsidRPr="009F3959" w:rsidRDefault="00E83CAC">
            <w:pPr>
              <w:spacing w:after="160"/>
              <w:jc w:val="left"/>
              <w:rPr>
                <w:lang w:val="en-GB"/>
              </w:rPr>
            </w:pPr>
          </w:p>
        </w:tc>
        <w:tc>
          <w:tcPr>
            <w:tcW w:w="261" w:type="dxa"/>
            <w:vMerge/>
          </w:tcPr>
          <w:p w14:paraId="6A05A809" w14:textId="77777777" w:rsidR="00E83CAC" w:rsidRPr="009F3959" w:rsidRDefault="00E83CAC">
            <w:pPr>
              <w:spacing w:after="160"/>
              <w:jc w:val="left"/>
              <w:rPr>
                <w:lang w:val="en-GB"/>
              </w:rPr>
            </w:pPr>
          </w:p>
        </w:tc>
        <w:tc>
          <w:tcPr>
            <w:tcW w:w="1421" w:type="dxa"/>
            <w:tcBorders>
              <w:top w:val="single" w:sz="4" w:space="0" w:color="auto"/>
              <w:left w:val="single" w:sz="4" w:space="0" w:color="auto"/>
              <w:bottom w:val="single" w:sz="4" w:space="0" w:color="auto"/>
              <w:right w:val="single" w:sz="4" w:space="0" w:color="auto"/>
            </w:tcBorders>
          </w:tcPr>
          <w:p w14:paraId="65B281B9" w14:textId="77777777" w:rsidR="00E83CAC" w:rsidRPr="009F3959" w:rsidRDefault="005B57B4">
            <w:pPr>
              <w:jc w:val="left"/>
              <w:rPr>
                <w:lang w:val="en-GB"/>
              </w:rPr>
            </w:pPr>
            <w:r w:rsidRPr="009F3959">
              <w:rPr>
                <w:sz w:val="16"/>
                <w:lang w:val="en-GB"/>
              </w:rPr>
              <w:t>20</w:t>
            </w:r>
            <w:r w:rsidR="002A34DD" w:rsidRPr="009F3959">
              <w:rPr>
                <w:sz w:val="16"/>
                <w:lang w:val="en-GB"/>
              </w:rPr>
              <w:t>21</w:t>
            </w:r>
          </w:p>
        </w:tc>
        <w:tc>
          <w:tcPr>
            <w:tcW w:w="1430" w:type="dxa"/>
            <w:tcBorders>
              <w:top w:val="single" w:sz="4" w:space="0" w:color="auto"/>
              <w:left w:val="single" w:sz="4" w:space="0" w:color="auto"/>
              <w:bottom w:val="single" w:sz="4" w:space="0" w:color="auto"/>
              <w:right w:val="single" w:sz="4" w:space="0" w:color="auto"/>
            </w:tcBorders>
          </w:tcPr>
          <w:p w14:paraId="5EA2A4FD" w14:textId="5654BF04" w:rsidR="00E83CAC" w:rsidRPr="009F3959" w:rsidRDefault="19B2C7A9" w:rsidP="00A81EFA">
            <w:pPr>
              <w:jc w:val="left"/>
              <w:rPr>
                <w:sz w:val="16"/>
                <w:lang w:val="en-GB"/>
              </w:rPr>
            </w:pPr>
            <w:r w:rsidRPr="009F3959">
              <w:rPr>
                <w:sz w:val="16"/>
                <w:lang w:val="en-GB"/>
              </w:rPr>
              <w:t>5 594</w:t>
            </w:r>
          </w:p>
        </w:tc>
        <w:tc>
          <w:tcPr>
            <w:tcW w:w="1426" w:type="dxa"/>
            <w:tcBorders>
              <w:top w:val="single" w:sz="4" w:space="0" w:color="auto"/>
              <w:left w:val="single" w:sz="4" w:space="0" w:color="auto"/>
              <w:bottom w:val="single" w:sz="4" w:space="0" w:color="auto"/>
              <w:right w:val="single" w:sz="4" w:space="0" w:color="auto"/>
            </w:tcBorders>
          </w:tcPr>
          <w:p w14:paraId="5A39BBE3" w14:textId="4A84DE5F" w:rsidR="00E83CAC" w:rsidRPr="009F3959" w:rsidRDefault="2B619AA8" w:rsidP="00A81EFA">
            <w:pPr>
              <w:jc w:val="left"/>
              <w:rPr>
                <w:sz w:val="16"/>
                <w:lang w:val="en-GB"/>
              </w:rPr>
            </w:pPr>
            <w:r w:rsidRPr="009F3959">
              <w:rPr>
                <w:sz w:val="16"/>
                <w:lang w:val="en-GB"/>
              </w:rPr>
              <w:t>295,5</w:t>
            </w:r>
          </w:p>
        </w:tc>
        <w:tc>
          <w:tcPr>
            <w:tcW w:w="261" w:type="dxa"/>
            <w:vMerge/>
          </w:tcPr>
          <w:p w14:paraId="41C8F396" w14:textId="77777777" w:rsidR="00E83CAC" w:rsidRPr="009F3959" w:rsidRDefault="00E83CAC">
            <w:pPr>
              <w:spacing w:after="160"/>
              <w:jc w:val="left"/>
              <w:rPr>
                <w:lang w:val="en-GB"/>
              </w:rPr>
            </w:pPr>
          </w:p>
        </w:tc>
      </w:tr>
      <w:tr w:rsidR="00E83CAC" w:rsidRPr="00A41A72" w14:paraId="52E4A7EE" w14:textId="77777777" w:rsidTr="7A2B0711">
        <w:trPr>
          <w:trHeight w:val="205"/>
        </w:trPr>
        <w:tc>
          <w:tcPr>
            <w:tcW w:w="5645" w:type="dxa"/>
            <w:vMerge/>
          </w:tcPr>
          <w:p w14:paraId="72A3D3EC" w14:textId="77777777" w:rsidR="00E83CAC" w:rsidRPr="009F3959" w:rsidRDefault="00E83CAC">
            <w:pPr>
              <w:spacing w:after="160"/>
              <w:jc w:val="left"/>
              <w:rPr>
                <w:lang w:val="en-GB"/>
              </w:rPr>
            </w:pPr>
          </w:p>
        </w:tc>
        <w:tc>
          <w:tcPr>
            <w:tcW w:w="261" w:type="dxa"/>
            <w:vMerge/>
          </w:tcPr>
          <w:p w14:paraId="0D0B940D" w14:textId="77777777" w:rsidR="00E83CAC" w:rsidRPr="009F3959" w:rsidRDefault="00E83CAC">
            <w:pPr>
              <w:spacing w:after="160"/>
              <w:jc w:val="left"/>
              <w:rPr>
                <w:lang w:val="en-GB"/>
              </w:rPr>
            </w:pPr>
          </w:p>
        </w:tc>
        <w:tc>
          <w:tcPr>
            <w:tcW w:w="1421" w:type="dxa"/>
            <w:tcBorders>
              <w:top w:val="single" w:sz="4" w:space="0" w:color="auto"/>
              <w:left w:val="single" w:sz="4" w:space="0" w:color="auto"/>
              <w:bottom w:val="single" w:sz="4" w:space="0" w:color="auto"/>
              <w:right w:val="single" w:sz="4" w:space="0" w:color="auto"/>
            </w:tcBorders>
          </w:tcPr>
          <w:p w14:paraId="1FBE425F" w14:textId="77777777" w:rsidR="00E83CAC" w:rsidRPr="009F3959" w:rsidRDefault="005B57B4">
            <w:pPr>
              <w:jc w:val="left"/>
              <w:rPr>
                <w:lang w:val="en-GB"/>
              </w:rPr>
            </w:pPr>
            <w:r w:rsidRPr="009F3959">
              <w:rPr>
                <w:sz w:val="16"/>
                <w:lang w:val="en-GB"/>
              </w:rPr>
              <w:t>20</w:t>
            </w:r>
            <w:r w:rsidR="002A34DD" w:rsidRPr="009F3959">
              <w:rPr>
                <w:sz w:val="16"/>
                <w:lang w:val="en-GB"/>
              </w:rPr>
              <w:t>22</w:t>
            </w:r>
          </w:p>
        </w:tc>
        <w:tc>
          <w:tcPr>
            <w:tcW w:w="1430" w:type="dxa"/>
            <w:tcBorders>
              <w:top w:val="single" w:sz="4" w:space="0" w:color="auto"/>
              <w:left w:val="single" w:sz="4" w:space="0" w:color="auto"/>
              <w:bottom w:val="single" w:sz="4" w:space="0" w:color="auto"/>
              <w:right w:val="single" w:sz="4" w:space="0" w:color="auto"/>
            </w:tcBorders>
          </w:tcPr>
          <w:p w14:paraId="0A7F1463" w14:textId="178DA445" w:rsidR="00E83CAC" w:rsidRPr="009F3959" w:rsidRDefault="2EBBDCFA" w:rsidP="00A81EFA">
            <w:pPr>
              <w:jc w:val="left"/>
              <w:rPr>
                <w:sz w:val="16"/>
                <w:lang w:val="en-GB"/>
              </w:rPr>
            </w:pPr>
            <w:r w:rsidRPr="009F3959">
              <w:rPr>
                <w:sz w:val="16"/>
                <w:lang w:val="en-GB"/>
              </w:rPr>
              <w:t>5 767</w:t>
            </w:r>
          </w:p>
        </w:tc>
        <w:tc>
          <w:tcPr>
            <w:tcW w:w="1426" w:type="dxa"/>
            <w:tcBorders>
              <w:top w:val="single" w:sz="4" w:space="0" w:color="auto"/>
              <w:left w:val="single" w:sz="4" w:space="0" w:color="auto"/>
              <w:bottom w:val="single" w:sz="4" w:space="0" w:color="auto"/>
              <w:right w:val="single" w:sz="4" w:space="0" w:color="auto"/>
            </w:tcBorders>
          </w:tcPr>
          <w:p w14:paraId="0E27B00A" w14:textId="440587F5" w:rsidR="00E83CAC" w:rsidRPr="009F3959" w:rsidRDefault="44A0FD6A" w:rsidP="00A81EFA">
            <w:pPr>
              <w:jc w:val="left"/>
              <w:rPr>
                <w:sz w:val="16"/>
                <w:lang w:val="en-GB"/>
              </w:rPr>
            </w:pPr>
            <w:r w:rsidRPr="009F3959">
              <w:rPr>
                <w:sz w:val="16"/>
                <w:lang w:val="en-GB"/>
              </w:rPr>
              <w:t>311,9</w:t>
            </w:r>
          </w:p>
        </w:tc>
        <w:tc>
          <w:tcPr>
            <w:tcW w:w="261" w:type="dxa"/>
            <w:vMerge/>
          </w:tcPr>
          <w:p w14:paraId="60061E4C" w14:textId="77777777" w:rsidR="00E83CAC" w:rsidRPr="009F3959" w:rsidRDefault="00E83CAC">
            <w:pPr>
              <w:spacing w:after="160"/>
              <w:jc w:val="left"/>
              <w:rPr>
                <w:lang w:val="en-GB"/>
              </w:rPr>
            </w:pPr>
          </w:p>
        </w:tc>
      </w:tr>
      <w:tr w:rsidR="00E83CAC" w:rsidRPr="00A41A72" w14:paraId="76EB99B2" w14:textId="77777777" w:rsidTr="7A2B0711">
        <w:trPr>
          <w:trHeight w:val="205"/>
        </w:trPr>
        <w:tc>
          <w:tcPr>
            <w:tcW w:w="5645" w:type="dxa"/>
            <w:vMerge/>
          </w:tcPr>
          <w:p w14:paraId="44EAFD9C" w14:textId="77777777" w:rsidR="00E83CAC" w:rsidRPr="009F3959" w:rsidRDefault="00E83CAC">
            <w:pPr>
              <w:spacing w:after="160"/>
              <w:jc w:val="left"/>
              <w:rPr>
                <w:lang w:val="en-GB"/>
              </w:rPr>
            </w:pPr>
          </w:p>
        </w:tc>
        <w:tc>
          <w:tcPr>
            <w:tcW w:w="261" w:type="dxa"/>
            <w:vMerge/>
          </w:tcPr>
          <w:p w14:paraId="4B94D5A5" w14:textId="77777777" w:rsidR="00E83CAC" w:rsidRPr="009F3959" w:rsidRDefault="00E83CAC">
            <w:pPr>
              <w:spacing w:after="160"/>
              <w:jc w:val="left"/>
              <w:rPr>
                <w:lang w:val="en-GB"/>
              </w:rPr>
            </w:pPr>
          </w:p>
        </w:tc>
        <w:tc>
          <w:tcPr>
            <w:tcW w:w="1421" w:type="dxa"/>
            <w:tcBorders>
              <w:top w:val="single" w:sz="4" w:space="0" w:color="auto"/>
              <w:left w:val="single" w:sz="4" w:space="0" w:color="auto"/>
              <w:bottom w:val="single" w:sz="4" w:space="0" w:color="auto"/>
              <w:right w:val="single" w:sz="4" w:space="0" w:color="auto"/>
            </w:tcBorders>
          </w:tcPr>
          <w:p w14:paraId="73F56A6F" w14:textId="77777777" w:rsidR="00E83CAC" w:rsidRPr="009F3959" w:rsidRDefault="005B57B4">
            <w:pPr>
              <w:jc w:val="left"/>
              <w:rPr>
                <w:lang w:val="en-GB"/>
              </w:rPr>
            </w:pPr>
            <w:r w:rsidRPr="009F3959">
              <w:rPr>
                <w:sz w:val="16"/>
                <w:lang w:val="en-GB"/>
              </w:rPr>
              <w:t>20</w:t>
            </w:r>
            <w:r w:rsidR="002A34DD" w:rsidRPr="009F3959">
              <w:rPr>
                <w:sz w:val="16"/>
                <w:lang w:val="en-GB"/>
              </w:rPr>
              <w:t>23</w:t>
            </w:r>
          </w:p>
        </w:tc>
        <w:tc>
          <w:tcPr>
            <w:tcW w:w="1430" w:type="dxa"/>
            <w:tcBorders>
              <w:top w:val="single" w:sz="4" w:space="0" w:color="auto"/>
              <w:left w:val="single" w:sz="4" w:space="0" w:color="auto"/>
              <w:bottom w:val="single" w:sz="4" w:space="0" w:color="auto"/>
              <w:right w:val="single" w:sz="4" w:space="0" w:color="auto"/>
            </w:tcBorders>
          </w:tcPr>
          <w:p w14:paraId="0C480B24" w14:textId="28231B26" w:rsidR="00E83CAC" w:rsidRPr="009F3959" w:rsidRDefault="7F1DA62E" w:rsidP="00A81EFA">
            <w:pPr>
              <w:jc w:val="left"/>
              <w:rPr>
                <w:sz w:val="16"/>
                <w:lang w:val="en-GB"/>
              </w:rPr>
            </w:pPr>
            <w:r w:rsidRPr="009F3959">
              <w:rPr>
                <w:sz w:val="16"/>
                <w:lang w:val="en-GB"/>
              </w:rPr>
              <w:t>5 451</w:t>
            </w:r>
          </w:p>
        </w:tc>
        <w:tc>
          <w:tcPr>
            <w:tcW w:w="1426" w:type="dxa"/>
            <w:tcBorders>
              <w:top w:val="single" w:sz="4" w:space="0" w:color="auto"/>
              <w:left w:val="single" w:sz="4" w:space="0" w:color="auto"/>
              <w:bottom w:val="single" w:sz="4" w:space="0" w:color="auto"/>
              <w:right w:val="single" w:sz="4" w:space="0" w:color="auto"/>
            </w:tcBorders>
          </w:tcPr>
          <w:p w14:paraId="3DEEC669" w14:textId="4AA428C4" w:rsidR="00E83CAC" w:rsidRPr="009F3959" w:rsidRDefault="443ACC14" w:rsidP="00A81EFA">
            <w:pPr>
              <w:jc w:val="left"/>
              <w:rPr>
                <w:sz w:val="16"/>
                <w:lang w:val="en-GB"/>
              </w:rPr>
            </w:pPr>
            <w:r w:rsidRPr="009F3959">
              <w:rPr>
                <w:sz w:val="16"/>
                <w:lang w:val="en-GB"/>
              </w:rPr>
              <w:t>289,5</w:t>
            </w:r>
          </w:p>
        </w:tc>
        <w:tc>
          <w:tcPr>
            <w:tcW w:w="261" w:type="dxa"/>
            <w:vMerge/>
          </w:tcPr>
          <w:p w14:paraId="3656B9AB" w14:textId="77777777" w:rsidR="00E83CAC" w:rsidRPr="009F3959" w:rsidRDefault="00E83CAC">
            <w:pPr>
              <w:spacing w:after="160"/>
              <w:jc w:val="left"/>
              <w:rPr>
                <w:lang w:val="en-GB"/>
              </w:rPr>
            </w:pPr>
          </w:p>
        </w:tc>
      </w:tr>
      <w:tr w:rsidR="00E83CAC" w:rsidRPr="00A41A72" w14:paraId="33617930" w14:textId="77777777" w:rsidTr="7A2B0711">
        <w:trPr>
          <w:trHeight w:val="210"/>
        </w:trPr>
        <w:tc>
          <w:tcPr>
            <w:tcW w:w="5645" w:type="dxa"/>
            <w:vMerge/>
          </w:tcPr>
          <w:p w14:paraId="45FB0818" w14:textId="77777777" w:rsidR="00E83CAC" w:rsidRPr="009F3959" w:rsidRDefault="00E83CAC">
            <w:pPr>
              <w:spacing w:after="160"/>
              <w:jc w:val="left"/>
              <w:rPr>
                <w:lang w:val="en-GB"/>
              </w:rPr>
            </w:pPr>
          </w:p>
        </w:tc>
        <w:tc>
          <w:tcPr>
            <w:tcW w:w="261" w:type="dxa"/>
            <w:vMerge/>
          </w:tcPr>
          <w:p w14:paraId="049F31CB" w14:textId="77777777" w:rsidR="00E83CAC" w:rsidRPr="009F3959" w:rsidRDefault="00E83CAC">
            <w:pPr>
              <w:spacing w:after="160"/>
              <w:jc w:val="left"/>
              <w:rPr>
                <w:lang w:val="en-GB"/>
              </w:rPr>
            </w:pPr>
          </w:p>
        </w:tc>
        <w:tc>
          <w:tcPr>
            <w:tcW w:w="1421" w:type="dxa"/>
            <w:tcBorders>
              <w:top w:val="single" w:sz="4" w:space="0" w:color="auto"/>
              <w:left w:val="single" w:sz="4" w:space="0" w:color="auto"/>
              <w:bottom w:val="single" w:sz="4" w:space="0" w:color="auto"/>
              <w:right w:val="single" w:sz="4" w:space="0" w:color="auto"/>
            </w:tcBorders>
          </w:tcPr>
          <w:p w14:paraId="3C04FD3E" w14:textId="77777777" w:rsidR="00E83CAC" w:rsidRPr="009F3959" w:rsidRDefault="005B57B4">
            <w:pPr>
              <w:jc w:val="left"/>
              <w:rPr>
                <w:lang w:val="en-GB"/>
              </w:rPr>
            </w:pPr>
            <w:r w:rsidRPr="009F3959">
              <w:rPr>
                <w:sz w:val="16"/>
                <w:lang w:val="en-GB"/>
              </w:rPr>
              <w:t>202</w:t>
            </w:r>
            <w:r w:rsidR="002A34DD" w:rsidRPr="009F3959">
              <w:rPr>
                <w:sz w:val="16"/>
                <w:lang w:val="en-GB"/>
              </w:rPr>
              <w:t>4</w:t>
            </w:r>
          </w:p>
        </w:tc>
        <w:tc>
          <w:tcPr>
            <w:tcW w:w="1430" w:type="dxa"/>
            <w:tcBorders>
              <w:top w:val="single" w:sz="4" w:space="0" w:color="auto"/>
              <w:left w:val="single" w:sz="4" w:space="0" w:color="auto"/>
              <w:bottom w:val="single" w:sz="4" w:space="0" w:color="auto"/>
              <w:right w:val="single" w:sz="4" w:space="0" w:color="auto"/>
            </w:tcBorders>
          </w:tcPr>
          <w:p w14:paraId="54F1A79E" w14:textId="542A187A" w:rsidR="00E83CAC" w:rsidRPr="009F3959" w:rsidRDefault="1A08EE1C" w:rsidP="00A81EFA">
            <w:pPr>
              <w:jc w:val="left"/>
              <w:rPr>
                <w:sz w:val="16"/>
                <w:lang w:val="en-GB"/>
              </w:rPr>
            </w:pPr>
            <w:r w:rsidRPr="009F3959">
              <w:rPr>
                <w:sz w:val="16"/>
                <w:lang w:val="en-GB"/>
              </w:rPr>
              <w:t>5 111</w:t>
            </w:r>
          </w:p>
        </w:tc>
        <w:tc>
          <w:tcPr>
            <w:tcW w:w="1426" w:type="dxa"/>
            <w:tcBorders>
              <w:top w:val="single" w:sz="4" w:space="0" w:color="auto"/>
              <w:left w:val="single" w:sz="4" w:space="0" w:color="auto"/>
              <w:bottom w:val="single" w:sz="4" w:space="0" w:color="auto"/>
              <w:right w:val="single" w:sz="4" w:space="0" w:color="auto"/>
            </w:tcBorders>
          </w:tcPr>
          <w:p w14:paraId="53128261" w14:textId="59FF1EBD" w:rsidR="00E83CAC" w:rsidRPr="009F3959" w:rsidRDefault="1A08EE1C" w:rsidP="00A81EFA">
            <w:pPr>
              <w:jc w:val="left"/>
              <w:rPr>
                <w:sz w:val="16"/>
                <w:lang w:val="en-GB"/>
              </w:rPr>
            </w:pPr>
            <w:r w:rsidRPr="009F3959">
              <w:rPr>
                <w:sz w:val="16"/>
                <w:lang w:val="en-GB"/>
              </w:rPr>
              <w:t>273,0</w:t>
            </w:r>
          </w:p>
        </w:tc>
        <w:tc>
          <w:tcPr>
            <w:tcW w:w="261" w:type="dxa"/>
            <w:vMerge/>
          </w:tcPr>
          <w:p w14:paraId="62486C05" w14:textId="77777777" w:rsidR="00E83CAC" w:rsidRPr="009F3959" w:rsidRDefault="00E83CAC">
            <w:pPr>
              <w:spacing w:after="160"/>
              <w:jc w:val="left"/>
              <w:rPr>
                <w:lang w:val="en-GB"/>
              </w:rPr>
            </w:pPr>
          </w:p>
        </w:tc>
      </w:tr>
    </w:tbl>
    <w:p w14:paraId="4EDE9CD8" w14:textId="5ABCECD6" w:rsidR="00E83CAC" w:rsidRPr="00A41A72" w:rsidRDefault="00E83CAC" w:rsidP="2F0114DB">
      <w:pPr>
        <w:ind w:left="1050"/>
        <w:jc w:val="center"/>
        <w:rPr>
          <w:rFonts w:ascii="Calibri" w:eastAsia="Calibri" w:hAnsi="Calibri" w:cs="Calibri"/>
          <w:lang w:val="en-GB"/>
        </w:rPr>
      </w:pPr>
    </w:p>
    <w:p w14:paraId="17B3B726" w14:textId="523FC6BD" w:rsidR="00E83CAC" w:rsidRPr="00A41A72" w:rsidRDefault="00E83CAC" w:rsidP="2F0114DB">
      <w:pPr>
        <w:ind w:left="1050"/>
        <w:jc w:val="center"/>
        <w:rPr>
          <w:rFonts w:ascii="Calibri" w:eastAsia="Calibri" w:hAnsi="Calibri" w:cs="Calibri"/>
          <w:lang w:val="en-GB"/>
        </w:rPr>
      </w:pPr>
    </w:p>
    <w:p w14:paraId="0A6959E7" w14:textId="415CA4DC" w:rsidR="00E83CAC" w:rsidRPr="009F3959" w:rsidRDefault="31DEC180" w:rsidP="00A81EFA">
      <w:pPr>
        <w:ind w:left="1050"/>
        <w:jc w:val="center"/>
        <w:rPr>
          <w:lang w:val="en-GB"/>
        </w:rPr>
      </w:pPr>
      <w:r w:rsidRPr="009F3959">
        <w:rPr>
          <w:noProof/>
          <w:lang w:val="en-GB"/>
        </w:rPr>
        <w:drawing>
          <wp:inline distT="0" distB="0" distL="0" distR="0" wp14:anchorId="260D0CF7" wp14:editId="6A0BEBCB">
            <wp:extent cx="4462852" cy="2676525"/>
            <wp:effectExtent l="0" t="0" r="0" b="0"/>
            <wp:docPr id="4917706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70624" name="Picture 491770624"/>
                    <pic:cNvPicPr/>
                  </pic:nvPicPr>
                  <pic:blipFill>
                    <a:blip r:embed="rId16">
                      <a:extLst>
                        <a:ext uri="{28A0092B-C50C-407E-A947-70E740481C1C}">
                          <a14:useLocalDpi xmlns:a14="http://schemas.microsoft.com/office/drawing/2010/main"/>
                        </a:ext>
                      </a:extLst>
                    </a:blip>
                    <a:stretch>
                      <a:fillRect/>
                    </a:stretch>
                  </pic:blipFill>
                  <pic:spPr>
                    <a:xfrm>
                      <a:off x="0" y="0"/>
                      <a:ext cx="4484706" cy="2689632"/>
                    </a:xfrm>
                    <a:prstGeom prst="rect">
                      <a:avLst/>
                    </a:prstGeom>
                  </pic:spPr>
                </pic:pic>
              </a:graphicData>
            </a:graphic>
          </wp:inline>
        </w:drawing>
      </w:r>
      <w:r w:rsidR="76BC4195" w:rsidRPr="009F3959">
        <w:rPr>
          <w:rFonts w:ascii="Calibri" w:eastAsia="Calibri" w:hAnsi="Calibri" w:cs="Calibri"/>
          <w:lang w:val="en-GB"/>
        </w:rPr>
        <w:t xml:space="preserve"> </w:t>
      </w:r>
    </w:p>
    <w:p w14:paraId="03D8BA8D" w14:textId="39332BAB" w:rsidR="00E83CAC" w:rsidRPr="009F3959" w:rsidRDefault="76BC4195" w:rsidP="2F0114DB">
      <w:pPr>
        <w:ind w:left="1050"/>
        <w:jc w:val="center"/>
        <w:rPr>
          <w:rFonts w:ascii="Calibri" w:eastAsia="Calibri" w:hAnsi="Calibri" w:cs="Calibri"/>
          <w:lang w:val="en-GB"/>
        </w:rPr>
      </w:pPr>
      <w:r w:rsidRPr="009F3959">
        <w:rPr>
          <w:rFonts w:ascii="Calibri" w:eastAsia="Calibri" w:hAnsi="Calibri" w:cs="Calibri"/>
          <w:lang w:val="en-GB"/>
        </w:rPr>
        <w:t xml:space="preserve"> </w:t>
      </w:r>
    </w:p>
    <w:p w14:paraId="69A0658A" w14:textId="77777777" w:rsidR="00E83CAC" w:rsidRPr="009F3959" w:rsidRDefault="005B57B4">
      <w:pPr>
        <w:ind w:left="1050"/>
        <w:jc w:val="center"/>
        <w:rPr>
          <w:lang w:val="en-GB"/>
        </w:rPr>
      </w:pPr>
      <w:r w:rsidRPr="009F3959">
        <w:rPr>
          <w:rFonts w:ascii="Calibri" w:eastAsia="Calibri" w:hAnsi="Calibri" w:cs="Calibri"/>
          <w:lang w:val="en-GB"/>
        </w:rPr>
        <w:t xml:space="preserve"> </w:t>
      </w:r>
    </w:p>
    <w:p w14:paraId="33CF79C1" w14:textId="674497E8" w:rsidR="00E83CAC" w:rsidRPr="009F3959" w:rsidRDefault="76BC4195" w:rsidP="2F0114DB">
      <w:pPr>
        <w:rPr>
          <w:highlight w:val="yellow"/>
          <w:lang w:val="en-GB"/>
        </w:rPr>
      </w:pPr>
      <w:r w:rsidRPr="009F3959">
        <w:rPr>
          <w:lang w:val="en-GB"/>
        </w:rPr>
        <w:t>Created by:</w:t>
      </w:r>
      <w:r w:rsidR="2EDCAB13" w:rsidRPr="009F3959">
        <w:rPr>
          <w:lang w:val="en-GB"/>
        </w:rPr>
        <w:t xml:space="preserve"> Anvars Zavackis</w:t>
      </w:r>
    </w:p>
    <w:sectPr w:rsidR="00E83CAC" w:rsidRPr="009F3959">
      <w:pgSz w:w="12240" w:h="15840"/>
      <w:pgMar w:top="1446" w:right="1711" w:bottom="1606" w:left="72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mants Jurevičius" w:date="2025-12-19T10:13:00Z" w:initials="IJ">
    <w:p w14:paraId="463AFC11" w14:textId="5E110398" w:rsidR="00B647BA" w:rsidRDefault="00B647BA">
      <w:pPr>
        <w:pStyle w:val="CommentText"/>
      </w:pPr>
      <w:r>
        <w:rPr>
          <w:rStyle w:val="CommentReference"/>
        </w:rPr>
        <w:annotationRef/>
      </w:r>
      <w:r w:rsidR="003F4F30">
        <w:t>As a basic punishment in Criminal law. Next in severity after deprivation of liberty (imprisonment).</w:t>
      </w:r>
    </w:p>
  </w:comment>
  <w:comment w:id="2" w:author="Imants Jurevičius" w:date="2025-12-19T10:20:00Z" w:initials="IJ">
    <w:p w14:paraId="01A53F12" w14:textId="636AC79D" w:rsidR="003F4F30" w:rsidRDefault="003F4F30">
      <w:pPr>
        <w:pStyle w:val="CommentText"/>
      </w:pPr>
      <w:r>
        <w:rPr>
          <w:rStyle w:val="CommentReference"/>
        </w:rPr>
        <w:annotationRef/>
      </w:r>
      <w:r>
        <w:t>Probation service doesn’t have pre-trial supervision – supervision of persons under pre-trial security measures. State Police is responsible for implementation of pre-trial security measures. Probation service prepares also pre-trial assessment reports (our function), but I guess that is not what you are asking here.</w:t>
      </w:r>
    </w:p>
  </w:comment>
  <w:comment w:id="1" w:author="Jānis Nicmanis" w:date="2026-03-02T16:50:00Z" w:initials="JN">
    <w:p w14:paraId="28845FE3" w14:textId="34F65C91" w:rsidR="004F2A3A" w:rsidRDefault="004F2A3A">
      <w:pPr>
        <w:pStyle w:val="CommentText"/>
      </w:pPr>
      <w:r>
        <w:rPr>
          <w:rStyle w:val="CommentReference"/>
        </w:rPr>
        <w:annotationRef/>
      </w:r>
      <w:r>
        <w:t>Data based on the SPACE II questionnaire, which does not allow the extraction of a complete dataset. For example, the number of pre-trial assessment reports included in this section is not harmonised and is not included in the section’s overall share calculation (“Total (percentage)”). If anything is unclear, please contact us for clarification.</w:t>
      </w:r>
    </w:p>
  </w:comment>
  <w:comment w:id="3" w:author="Jānis Nicmanis" w:date="2026-03-02T16:53:00Z" w:initials="JN">
    <w:p w14:paraId="1D9BF63C" w14:textId="77777777" w:rsidR="004F2A3A" w:rsidRDefault="004F2A3A" w:rsidP="009F3959">
      <w:pPr>
        <w:pStyle w:val="CommentText"/>
      </w:pPr>
      <w:r>
        <w:rPr>
          <w:rStyle w:val="CommentReference"/>
        </w:rPr>
        <w:annotationRef/>
      </w:r>
      <w:r>
        <w:t>All data are reported in line with the SPACE methodology. However, the SPACE II questionnaire does not require reporting the share of additional sanctions (e.g., probation supervision or community service following the completion of a custodial sentence). Therefore, we do not report the proportions of additional sanctions here.</w:t>
      </w:r>
    </w:p>
    <w:p w14:paraId="034221B6" w14:textId="71BC2BD8" w:rsidR="0001652A" w:rsidRDefault="0001652A" w:rsidP="009F3959">
      <w:pPr>
        <w:pStyle w:val="CommentText"/>
      </w:pPr>
      <w:r>
        <w:t>If anything is unclear, please contact us for clarification.</w:t>
      </w:r>
    </w:p>
    <w:p w14:paraId="5AEAFE58" w14:textId="042C5FFF" w:rsidR="00EF0465" w:rsidRDefault="00EF0465" w:rsidP="009F3959">
      <w:pPr>
        <w:pStyle w:val="CommentText"/>
      </w:pPr>
    </w:p>
    <w:p w14:paraId="356B6DF0" w14:textId="7F51C793" w:rsidR="00EF0465" w:rsidRDefault="00EF0465" w:rsidP="009F3959">
      <w:pPr>
        <w:pStyle w:val="CommentText"/>
      </w:pPr>
      <w:r>
        <w:t>For example, on 28th February 2026 we had 721 probation clients whom are released from prison and immediatelly becoming probation clients (community supervision or community work service). And that is in addition to persons released on parole indicated in this table.</w:t>
      </w:r>
    </w:p>
    <w:p w14:paraId="0F757473" w14:textId="7E5BAA2A" w:rsidR="0001652A" w:rsidRDefault="0001652A" w:rsidP="009F395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AFC11" w15:done="1"/>
  <w15:commentEx w15:paraId="01A53F12" w15:done="0"/>
  <w15:commentEx w15:paraId="28845FE3" w15:done="0"/>
  <w15:commentEx w15:paraId="0F7574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AFC11" w16cid:durableId="2CEFA3DA"/>
  <w16cid:commentId w16cid:paraId="01A53F12" w16cid:durableId="2CEFA55A"/>
  <w16cid:commentId w16cid:paraId="28845FE3" w16cid:durableId="2D503E50"/>
  <w16cid:commentId w16cid:paraId="0F757473" w16cid:durableId="2D503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9FD7" w14:textId="77777777" w:rsidR="0086530D" w:rsidRDefault="0086530D">
      <w:pPr>
        <w:spacing w:line="240" w:lineRule="auto"/>
      </w:pPr>
      <w:r>
        <w:separator/>
      </w:r>
    </w:p>
  </w:endnote>
  <w:endnote w:type="continuationSeparator" w:id="0">
    <w:p w14:paraId="6DD18DAF" w14:textId="77777777" w:rsidR="0086530D" w:rsidRDefault="00865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ustaTLPro-Regular">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D6E0" w14:textId="77777777" w:rsidR="0086530D" w:rsidRDefault="0086530D">
      <w:pPr>
        <w:spacing w:line="240" w:lineRule="auto"/>
      </w:pPr>
      <w:r>
        <w:separator/>
      </w:r>
    </w:p>
  </w:footnote>
  <w:footnote w:type="continuationSeparator" w:id="0">
    <w:p w14:paraId="508B393D" w14:textId="77777777" w:rsidR="0086530D" w:rsidRDefault="0086530D">
      <w:pPr>
        <w:spacing w:line="240" w:lineRule="auto"/>
      </w:pPr>
      <w:r>
        <w:continuationSeparator/>
      </w:r>
    </w:p>
  </w:footnote>
  <w:footnote w:id="1">
    <w:p w14:paraId="21FED976" w14:textId="424C2682" w:rsidR="54EB4851" w:rsidRDefault="54EB4851" w:rsidP="2F0114DB">
      <w:pPr>
        <w:pStyle w:val="FootnoteText"/>
        <w:contextualSpacing/>
      </w:pPr>
      <w:r w:rsidRPr="54EB4851">
        <w:rPr>
          <w:rStyle w:val="FootnoteReference"/>
        </w:rPr>
        <w:footnoteRef/>
      </w:r>
      <w:r w:rsidR="2F0114DB">
        <w:t xml:space="preserve"> </w:t>
      </w:r>
      <w:r w:rsidR="2F0114DB" w:rsidRPr="2F0114DB">
        <w:rPr>
          <w:b/>
          <w:bCs/>
        </w:rPr>
        <w:t xml:space="preserve">Number of persons under the supervision of SPS on 31 January 2024 (STOCK OF PROBATIONERS). </w:t>
      </w:r>
      <w:r w:rsidR="2F0114DB">
        <w:t xml:space="preserve">Source: </w:t>
      </w:r>
      <w:r w:rsidR="2F0114DB" w:rsidRPr="2F0114DB">
        <w:t xml:space="preserve">Aebi, M. F., Cid-Pozo, I., Molnar, L., &amp; Hashimoto, Y. Z. (2024). SPACE II – 2024 – Council of Europe Annual Penal Statistics: Persons under the supervision of probation agencies. Council of Europe.  </w:t>
      </w:r>
      <w:hyperlink r:id="rId1">
        <w:r w:rsidR="2F0114DB" w:rsidRPr="2F0114DB">
          <w:rPr>
            <w:rStyle w:val="Hyperlink"/>
          </w:rPr>
          <w:t>https://wp.unil.ch/space/files/2025/11/space-ii_report-2024_251105.pdf</w:t>
        </w:r>
      </w:hyperlink>
      <w:r w:rsidR="2F0114DB" w:rsidRPr="2F0114DB">
        <w:t xml:space="preserve"> </w:t>
      </w:r>
    </w:p>
    <w:p w14:paraId="7E6E31D3" w14:textId="77777777" w:rsidR="007F1030" w:rsidRDefault="007F1030" w:rsidP="2F0114DB">
      <w:pPr>
        <w:pStyle w:val="FootnoteText"/>
        <w:contextualSpacing/>
      </w:pPr>
    </w:p>
  </w:footnote>
  <w:footnote w:id="2">
    <w:p w14:paraId="5A26F74D" w14:textId="647A5B5E" w:rsidR="54EB4851" w:rsidRDefault="54EB4851" w:rsidP="2F0114DB">
      <w:pPr>
        <w:pStyle w:val="FootnoteText"/>
        <w:contextualSpacing/>
        <w:rPr>
          <w:rStyle w:val="Hyperlink"/>
          <w:lang w:val="en-US"/>
        </w:rPr>
      </w:pPr>
      <w:r w:rsidRPr="2F0114DB">
        <w:rPr>
          <w:rStyle w:val="FootnoteReference"/>
          <w:lang w:val="en-US"/>
        </w:rPr>
        <w:footnoteRef/>
      </w:r>
      <w:r w:rsidR="2F0114DB" w:rsidRPr="2F0114DB">
        <w:rPr>
          <w:lang w:val="en-US"/>
        </w:rPr>
        <w:t xml:space="preserve"> </w:t>
      </w:r>
      <w:r w:rsidR="2F0114DB" w:rsidRPr="2F0114DB">
        <w:rPr>
          <w:b/>
          <w:bCs/>
          <w:lang w:val="en-US"/>
        </w:rPr>
        <w:t xml:space="preserve"> </w:t>
      </w:r>
      <w:r w:rsidR="2F0114DB" w:rsidRPr="00A81EFA">
        <w:rPr>
          <w:b/>
          <w:bCs/>
          <w:lang w:val="en-US"/>
        </w:rPr>
        <w:t>Stock of probationers (</w:t>
      </w:r>
      <w:r w:rsidR="2F0114DB" w:rsidRPr="2F0114DB">
        <w:rPr>
          <w:b/>
          <w:bCs/>
          <w:lang w:val="en-US"/>
        </w:rPr>
        <w:t>probatiion population per 100,000 of national population</w:t>
      </w:r>
      <w:r w:rsidR="2F0114DB" w:rsidRPr="00A81EFA">
        <w:rPr>
          <w:b/>
          <w:bCs/>
          <w:lang w:val="en-US"/>
        </w:rPr>
        <w:t>) in rates on 31 January 2024</w:t>
      </w:r>
      <w:r w:rsidR="2F0114DB" w:rsidRPr="2F0114DB">
        <w:rPr>
          <w:b/>
          <w:bCs/>
          <w:lang w:val="en-US"/>
        </w:rPr>
        <w:t xml:space="preserve">. </w:t>
      </w:r>
      <w:r w:rsidR="2F0114DB" w:rsidRPr="2F0114DB">
        <w:rPr>
          <w:lang w:val="en-US"/>
        </w:rPr>
        <w:t xml:space="preserve">Source: Aebi, M. F., Cid-Pozo, I., Molnar, L., &amp; Hashimoto, Y. Z. (2024). SPACE II – 2024 – Council of Europe Annual Penal Statistics: Persons under the supervision of probation agencies. Council of Europe.  </w:t>
      </w:r>
      <w:hyperlink r:id="rId2" w:history="1">
        <w:r w:rsidR="2F0114DB" w:rsidRPr="2F0114DB">
          <w:rPr>
            <w:rStyle w:val="Hyperlink"/>
            <w:lang w:val="en-US"/>
          </w:rPr>
          <w:t>https://wp.unil.ch/space/files/2025/11/space-ii_report-2024_251105.pdf</w:t>
        </w:r>
      </w:hyperlink>
    </w:p>
    <w:p w14:paraId="45101EC2" w14:textId="77777777" w:rsidR="007F1030" w:rsidRDefault="007F1030" w:rsidP="2F0114DB">
      <w:pPr>
        <w:pStyle w:val="FootnoteText"/>
        <w:contextualSpacing/>
        <w:rPr>
          <w:rStyle w:val="Hyperlink"/>
        </w:rPr>
      </w:pPr>
    </w:p>
  </w:footnote>
  <w:footnote w:id="3">
    <w:p w14:paraId="682AB847" w14:textId="55CFC611" w:rsidR="008B3584" w:rsidRDefault="00504A39" w:rsidP="2F0114DB">
      <w:pPr>
        <w:pStyle w:val="FootnoteText"/>
        <w:contextualSpacing/>
        <w:rPr>
          <w:b/>
          <w:bCs/>
        </w:rPr>
      </w:pPr>
      <w:r>
        <w:rPr>
          <w:rStyle w:val="FootnoteReference"/>
        </w:rPr>
        <w:footnoteRef/>
      </w:r>
      <w:r w:rsidR="2F0114DB">
        <w:t xml:space="preserve"> </w:t>
      </w:r>
      <w:r w:rsidR="2F0114DB" w:rsidRPr="00A81EFA">
        <w:rPr>
          <w:b/>
          <w:bCs/>
        </w:rPr>
        <w:t xml:space="preserve">The number of females in absolute numbers </w:t>
      </w:r>
    </w:p>
    <w:p w14:paraId="7E2BEEC5" w14:textId="1678CAC0" w:rsidR="008B3584" w:rsidRDefault="2F0114DB" w:rsidP="2F0114DB">
      <w:pPr>
        <w:pStyle w:val="FootnoteText"/>
        <w:contextualSpacing/>
        <w:rPr>
          <w:rStyle w:val="Hyperlink"/>
          <w:lang w:val="en-US"/>
        </w:rPr>
      </w:pPr>
      <w:r w:rsidRPr="00A81EFA">
        <w:rPr>
          <w:b/>
          <w:bCs/>
        </w:rPr>
        <w:t>(percentages) under the</w:t>
      </w:r>
      <w:r w:rsidRPr="2F0114DB">
        <w:rPr>
          <w:b/>
          <w:bCs/>
        </w:rPr>
        <w:t xml:space="preserve"> community correction</w:t>
      </w:r>
      <w:r w:rsidRPr="00A81EFA">
        <w:rPr>
          <w:b/>
          <w:bCs/>
        </w:rPr>
        <w:t xml:space="preserve"> </w:t>
      </w:r>
      <w:r w:rsidRPr="2F0114DB">
        <w:rPr>
          <w:b/>
          <w:bCs/>
        </w:rPr>
        <w:t>(</w:t>
      </w:r>
      <w:r w:rsidRPr="00A81EFA">
        <w:rPr>
          <w:b/>
          <w:bCs/>
        </w:rPr>
        <w:t xml:space="preserve">SPS </w:t>
      </w:r>
      <w:r w:rsidRPr="2F0114DB">
        <w:rPr>
          <w:b/>
          <w:bCs/>
        </w:rPr>
        <w:t xml:space="preserve">) </w:t>
      </w:r>
      <w:r w:rsidRPr="2F0114DB">
        <w:rPr>
          <w:b/>
          <w:bCs/>
          <w:lang w:val="en-US"/>
        </w:rPr>
        <w:t xml:space="preserve">on 31 January 2024. </w:t>
      </w:r>
      <w:r w:rsidRPr="2F0114DB">
        <w:rPr>
          <w:lang w:val="en-US"/>
        </w:rPr>
        <w:t xml:space="preserve">Source: Aebi, M. F., Cid-Pozo, I., Molnar, L., &amp; Hashimoto, Y. Z. (2024). SPACE II – 2024 – Council of Europe Annual Penal Statistics: Persons under the supervision of probation agencies. Council of Europe.  </w:t>
      </w:r>
      <w:hyperlink r:id="rId3" w:history="1">
        <w:r w:rsidRPr="2F0114DB">
          <w:rPr>
            <w:rStyle w:val="Hyperlink"/>
            <w:lang w:val="en-US"/>
          </w:rPr>
          <w:t>https://wp.unil.ch/space/files/2025/11/space-ii_report-2024_251105.pdf</w:t>
        </w:r>
      </w:hyperlink>
    </w:p>
    <w:p w14:paraId="3306EC29" w14:textId="77777777" w:rsidR="007F1030" w:rsidRDefault="007F1030" w:rsidP="2F0114DB">
      <w:pPr>
        <w:pStyle w:val="FootnoteText"/>
        <w:contextualSpacing/>
        <w:rPr>
          <w:lang w:val="en-US"/>
        </w:rPr>
      </w:pPr>
    </w:p>
  </w:footnote>
  <w:footnote w:id="4">
    <w:p w14:paraId="266FC3FE" w14:textId="3A13D85D" w:rsidR="007A68DA" w:rsidRDefault="007A68DA" w:rsidP="2F0114DB">
      <w:pPr>
        <w:pStyle w:val="FootnoteText"/>
        <w:contextualSpacing/>
        <w:rPr>
          <w:lang w:val="en-US"/>
        </w:rPr>
      </w:pPr>
      <w:r>
        <w:rPr>
          <w:rStyle w:val="FootnoteReference"/>
        </w:rPr>
        <w:footnoteRef/>
      </w:r>
      <w:r w:rsidR="2F0114DB">
        <w:t xml:space="preserve"> </w:t>
      </w:r>
      <w:r w:rsidR="2F0114DB" w:rsidRPr="2F0114DB">
        <w:rPr>
          <w:b/>
          <w:bCs/>
        </w:rPr>
        <w:t xml:space="preserve"> The number of minors in absolute numbers (percentages) under the community correction (SPS ) </w:t>
      </w:r>
      <w:r w:rsidR="2F0114DB" w:rsidRPr="2F0114DB">
        <w:rPr>
          <w:b/>
          <w:bCs/>
          <w:lang w:val="en-US"/>
        </w:rPr>
        <w:t xml:space="preserve">on 31 January 2024. </w:t>
      </w:r>
      <w:r w:rsidR="2F0114DB" w:rsidRPr="2F0114DB">
        <w:rPr>
          <w:lang w:val="en-US"/>
        </w:rPr>
        <w:t xml:space="preserve">Source: Aebi, M. F., Cid-Pozo, I., Molnar, L., &amp; Hashimoto, Y. Z. (2024). SPACE II – 2024 – Council of Europe Annual Penal Statistics: Persons under the supervision of probation agencies. Council of Europe.  </w:t>
      </w:r>
      <w:hyperlink r:id="rId4" w:history="1">
        <w:r w:rsidR="2F0114DB" w:rsidRPr="2F0114DB">
          <w:rPr>
            <w:rStyle w:val="Hyperlink"/>
            <w:lang w:val="en-US"/>
          </w:rPr>
          <w:t>https://wp.unil.ch/space/files/2025/11/space-ii_report-2024_251105.pdf</w:t>
        </w:r>
      </w:hyperlink>
    </w:p>
    <w:p w14:paraId="6365CB80" w14:textId="30A5E343" w:rsidR="2F0114DB" w:rsidRDefault="2F0114DB" w:rsidP="2F0114DB">
      <w:pPr>
        <w:pStyle w:val="FootnoteText"/>
      </w:pPr>
    </w:p>
  </w:footnote>
  <w:footnote w:id="5">
    <w:p w14:paraId="6F4B3FC2" w14:textId="229A59A4" w:rsidR="2F0114DB" w:rsidRDefault="2F0114DB" w:rsidP="00A81EFA">
      <w:pPr>
        <w:pStyle w:val="FootnoteText"/>
        <w:contextualSpacing/>
        <w:rPr>
          <w:lang w:val="en-US"/>
        </w:rPr>
      </w:pPr>
      <w:r w:rsidRPr="2F0114DB">
        <w:rPr>
          <w:rStyle w:val="FootnoteReference"/>
        </w:rPr>
        <w:footnoteRef/>
      </w:r>
      <w:r>
        <w:t xml:space="preserve"> </w:t>
      </w:r>
      <w:r w:rsidRPr="2F0114DB">
        <w:rPr>
          <w:b/>
          <w:bCs/>
        </w:rPr>
        <w:t xml:space="preserve">The number of foreign individuals in absolute numbers (percentages) under the community correction (SPS ) </w:t>
      </w:r>
      <w:r w:rsidRPr="2F0114DB">
        <w:rPr>
          <w:b/>
          <w:bCs/>
          <w:lang w:val="en-US"/>
        </w:rPr>
        <w:t xml:space="preserve">on 31 January 2024. </w:t>
      </w:r>
      <w:r w:rsidRPr="2F0114DB">
        <w:rPr>
          <w:lang w:val="en-US"/>
        </w:rPr>
        <w:t xml:space="preserve">Source: Aebi, M. F., Cid-Pozo, I., Molnar, L., &amp; Hashimoto, Y. Z. (2024). SPACE II – 2024 – Council of Europe Annual Penal Statistics: Persons under the supervision of probation agencies. Council of Europe.  </w:t>
      </w:r>
      <w:hyperlink r:id="rId5" w:history="1">
        <w:r w:rsidRPr="2F0114DB">
          <w:rPr>
            <w:rStyle w:val="Hyperlink"/>
            <w:lang w:val="en-US"/>
          </w:rPr>
          <w:t>https://wp.unil.ch/space/files/2025/11/space-ii_report-2024_251105.pdf</w:t>
        </w:r>
      </w:hyperlink>
    </w:p>
    <w:p w14:paraId="44AB51E3" w14:textId="74F5AFA1" w:rsidR="2F0114DB" w:rsidRDefault="2F0114DB" w:rsidP="2F0114DB">
      <w:pPr>
        <w:pStyle w:val="FootnoteText"/>
      </w:pPr>
    </w:p>
  </w:footnote>
  <w:footnote w:id="6">
    <w:p w14:paraId="1435DA9A" w14:textId="35C892E8" w:rsidR="00ED385E" w:rsidRDefault="00ED385E" w:rsidP="2F0114DB">
      <w:pPr>
        <w:pStyle w:val="FootnoteText"/>
        <w:contextualSpacing/>
        <w:rPr>
          <w:lang w:val="en-US"/>
        </w:rPr>
      </w:pPr>
      <w:r>
        <w:rPr>
          <w:rStyle w:val="FootnoteReference"/>
        </w:rPr>
        <w:footnoteRef/>
      </w:r>
      <w:r w:rsidR="2F0114DB" w:rsidRPr="2F0114DB">
        <w:rPr>
          <w:b/>
          <w:bCs/>
        </w:rPr>
        <w:t xml:space="preserve">The number of </w:t>
      </w:r>
      <w:r w:rsidR="2F0114DB" w:rsidRPr="00A81EFA">
        <w:rPr>
          <w:b/>
          <w:bCs/>
          <w:lang w:val="en-US"/>
        </w:rPr>
        <w:t xml:space="preserve"> probation clients placed under probation  before the sentence</w:t>
      </w:r>
      <w:r w:rsidR="2F0114DB" w:rsidRPr="2F0114DB">
        <w:rPr>
          <w:b/>
          <w:bCs/>
        </w:rPr>
        <w:t xml:space="preserve"> in absolute numbers ( percentages) under the community correction (SPS ) </w:t>
      </w:r>
      <w:r w:rsidR="2F0114DB" w:rsidRPr="2F0114DB">
        <w:rPr>
          <w:b/>
          <w:bCs/>
          <w:lang w:val="en-US"/>
        </w:rPr>
        <w:t xml:space="preserve">on 31 January 2024. </w:t>
      </w:r>
      <w:r w:rsidR="2F0114DB" w:rsidRPr="2F0114DB">
        <w:rPr>
          <w:lang w:val="en-US"/>
        </w:rPr>
        <w:t xml:space="preserve">Source: Aebi, M. F., Cid-Pozo, I., Molnar, L., &amp; Hashimoto, Y. Z. (2024). SPACE II – 2024 – Council of Europe Annual Penal Statistics: Persons under the supervision of probation agencies. Council of Europe.  </w:t>
      </w:r>
      <w:hyperlink r:id="rId6" w:history="1">
        <w:r w:rsidR="2F0114DB" w:rsidRPr="2F0114DB">
          <w:rPr>
            <w:rStyle w:val="Hyperlink"/>
            <w:lang w:val="en-US"/>
          </w:rPr>
          <w:t>https://wp.unil.ch/space/files/2025/11/space-ii_report-2024_251105.pdf</w:t>
        </w:r>
      </w:hyperlink>
    </w:p>
    <w:p w14:paraId="0B8803CD" w14:textId="3CA23DF0" w:rsidR="00ED385E" w:rsidRDefault="00ED385E">
      <w:pPr>
        <w:pStyle w:val="FootnoteText"/>
      </w:pPr>
    </w:p>
  </w:footnote>
  <w:footnote w:id="7">
    <w:p w14:paraId="35FA0081" w14:textId="6C7F37DC" w:rsidR="00710350" w:rsidRDefault="00710350">
      <w:pPr>
        <w:pStyle w:val="FootnoteText"/>
        <w:rPr>
          <w:lang w:val="en-GB"/>
        </w:rPr>
      </w:pPr>
      <w:r>
        <w:rPr>
          <w:rStyle w:val="FootnoteReference"/>
        </w:rPr>
        <w:footnoteRef/>
      </w:r>
      <w:r>
        <w:t xml:space="preserve"> </w:t>
      </w:r>
      <w:r w:rsidRPr="008B564C">
        <w:rPr>
          <w:lang w:val="en-GB"/>
        </w:rPr>
        <w:t>Prior to sentencing, parties may engage in a victim-offender mediation process facilitated by the State Probation Service; however, this process does not constitute probation supervision.</w:t>
      </w:r>
    </w:p>
    <w:p w14:paraId="678ED9CC" w14:textId="77777777" w:rsidR="00CE0BE4" w:rsidRDefault="00CE0BE4">
      <w:pPr>
        <w:pStyle w:val="FootnoteText"/>
      </w:pPr>
    </w:p>
  </w:footnote>
  <w:footnote w:id="8">
    <w:p w14:paraId="3549529B" w14:textId="27D4C488" w:rsidR="00AB05A8" w:rsidRDefault="00AB05A8">
      <w:pPr>
        <w:pStyle w:val="FootnoteText"/>
      </w:pPr>
      <w:r>
        <w:rPr>
          <w:rStyle w:val="FootnoteReference"/>
        </w:rPr>
        <w:footnoteRef/>
      </w:r>
      <w:r>
        <w:t xml:space="preserve"> Information source: State Probation Service (Latvia), Public Annual Report 2024; the figure was calculated by summing all requests for pre-trial assessment reports received during the calendar year and is </w:t>
      </w:r>
      <w:r>
        <w:rPr>
          <w:rStyle w:val="Strong"/>
        </w:rPr>
        <w:t>not</w:t>
      </w:r>
      <w:r>
        <w:t xml:space="preserve"> included in this section’s “Total (percentage)” calculation.</w:t>
      </w:r>
      <w:r w:rsidR="00333ACC">
        <w:t xml:space="preserve"> </w:t>
      </w:r>
      <w:hyperlink r:id="rId7" w:history="1">
        <w:r w:rsidR="004F2A3A" w:rsidRPr="00283CC3">
          <w:rPr>
            <w:rStyle w:val="Hyperlink"/>
          </w:rPr>
          <w:t>https://www.vpd.gov.lv/lv/media/2135/download?attachment</w:t>
        </w:r>
      </w:hyperlink>
      <w:r w:rsidR="004F2A3A">
        <w:t xml:space="preserve"> </w:t>
      </w:r>
    </w:p>
    <w:p w14:paraId="1AF88B85" w14:textId="77777777" w:rsidR="00AB05A8" w:rsidRDefault="00AB05A8">
      <w:pPr>
        <w:pStyle w:val="FootnoteText"/>
      </w:pPr>
    </w:p>
  </w:footnote>
  <w:footnote w:id="9">
    <w:p w14:paraId="22D5A69F" w14:textId="30313034" w:rsidR="00ED385E" w:rsidRDefault="00ED385E" w:rsidP="2F0114DB">
      <w:pPr>
        <w:pStyle w:val="FootnoteText"/>
        <w:contextualSpacing/>
        <w:rPr>
          <w:lang w:val="en-US"/>
        </w:rPr>
      </w:pPr>
      <w:r>
        <w:rPr>
          <w:rStyle w:val="FootnoteReference"/>
        </w:rPr>
        <w:footnoteRef/>
      </w:r>
      <w:r w:rsidR="2F0114DB" w:rsidRPr="2F0114DB">
        <w:rPr>
          <w:b/>
          <w:bCs/>
        </w:rPr>
        <w:t xml:space="preserve">The number of </w:t>
      </w:r>
      <w:r w:rsidR="2F0114DB" w:rsidRPr="2F0114DB">
        <w:rPr>
          <w:b/>
          <w:bCs/>
          <w:lang w:val="en-US"/>
        </w:rPr>
        <w:t xml:space="preserve"> probation clients placed under probation after the sentence</w:t>
      </w:r>
      <w:r w:rsidR="2F0114DB" w:rsidRPr="2F0114DB">
        <w:rPr>
          <w:b/>
          <w:bCs/>
        </w:rPr>
        <w:t xml:space="preserve"> in absolute numbers ( percentages) under the community correction (SPS ) </w:t>
      </w:r>
      <w:r w:rsidR="2F0114DB" w:rsidRPr="2F0114DB">
        <w:rPr>
          <w:b/>
          <w:bCs/>
          <w:lang w:val="en-US"/>
        </w:rPr>
        <w:t xml:space="preserve">on 31 January 2024. </w:t>
      </w:r>
      <w:r w:rsidR="2F0114DB" w:rsidRPr="2F0114DB">
        <w:rPr>
          <w:lang w:val="en-US"/>
        </w:rPr>
        <w:t xml:space="preserve">Source: Aebi, M. F., Cid-Pozo, I., Molnar, L., &amp; Hashimoto, Y. Z. (2024). SPACE II – 2024 – Council of Europe Annual Penal Statistics: Persons under the supervision of probation agencies. Council of Europe.  </w:t>
      </w:r>
      <w:hyperlink r:id="rId8" w:history="1">
        <w:r w:rsidR="2F0114DB" w:rsidRPr="2F0114DB">
          <w:rPr>
            <w:rStyle w:val="Hyperlink"/>
            <w:lang w:val="en-US"/>
          </w:rPr>
          <w:t>https://wp.unil.ch/space/files/2025/11/space-ii_report-2024_251105.pdf</w:t>
        </w:r>
      </w:hyperlink>
    </w:p>
    <w:p w14:paraId="446D2C5B" w14:textId="617621D5" w:rsidR="2F0114DB" w:rsidRDefault="2F0114DB" w:rsidP="2F0114DB">
      <w:pPr>
        <w:pStyle w:val="FootnoteText"/>
      </w:pPr>
    </w:p>
  </w:footnote>
  <w:footnote w:id="10">
    <w:p w14:paraId="065363D5" w14:textId="2E893A35" w:rsidR="00ED385E" w:rsidRDefault="00ED385E" w:rsidP="2F0114DB">
      <w:pPr>
        <w:pStyle w:val="FootnoteText"/>
        <w:contextualSpacing/>
        <w:rPr>
          <w:rStyle w:val="Hyperlink"/>
          <w:lang w:val="en-US"/>
        </w:rPr>
      </w:pPr>
      <w:r>
        <w:rPr>
          <w:rStyle w:val="FootnoteReference"/>
        </w:rPr>
        <w:footnoteRef/>
      </w:r>
      <w:r w:rsidR="2F0114DB">
        <w:t xml:space="preserve"> </w:t>
      </w:r>
      <w:r w:rsidR="2F0114DB" w:rsidRPr="2F0114DB">
        <w:rPr>
          <w:b/>
          <w:bCs/>
        </w:rPr>
        <w:t xml:space="preserve">The number of </w:t>
      </w:r>
      <w:r w:rsidR="2F0114DB" w:rsidRPr="2F0114DB">
        <w:rPr>
          <w:b/>
          <w:bCs/>
          <w:lang w:val="en-US"/>
        </w:rPr>
        <w:t xml:space="preserve"> probation clients placed under probation  after release from custudy </w:t>
      </w:r>
      <w:r w:rsidR="2F0114DB" w:rsidRPr="2F0114DB">
        <w:rPr>
          <w:b/>
          <w:bCs/>
        </w:rPr>
        <w:t xml:space="preserve">in absolute numbers ( percentages) under the community correction (SPS ) </w:t>
      </w:r>
      <w:r w:rsidR="2F0114DB" w:rsidRPr="2F0114DB">
        <w:rPr>
          <w:b/>
          <w:bCs/>
          <w:lang w:val="en-US"/>
        </w:rPr>
        <w:t xml:space="preserve">on 31 January 2024. </w:t>
      </w:r>
      <w:r w:rsidR="2F0114DB" w:rsidRPr="2F0114DB">
        <w:rPr>
          <w:lang w:val="en-US"/>
        </w:rPr>
        <w:t xml:space="preserve">Source: Aebi, M. F., Cid-Pozo, I., Molnar, L., &amp; Hashimoto, Y. Z. (2024). SPACE II – 2024 – Council of Europe Annual Penal Statistics: Persons under the supervision of probation agencies. Council of Europe.  </w:t>
      </w:r>
      <w:hyperlink r:id="rId9" w:history="1">
        <w:r w:rsidR="2F0114DB" w:rsidRPr="2F0114DB">
          <w:rPr>
            <w:rStyle w:val="Hyperlink"/>
            <w:lang w:val="en-US"/>
          </w:rPr>
          <w:t>https://wp.unil.ch/space/files/2025/11/space-ii_report-2024_251105.pdf</w:t>
        </w:r>
      </w:hyperlink>
    </w:p>
    <w:p w14:paraId="618AC437" w14:textId="77777777" w:rsidR="00F4136C" w:rsidRDefault="00F4136C" w:rsidP="2F0114DB">
      <w:pPr>
        <w:pStyle w:val="FootnoteText"/>
        <w:contextualSpacing/>
        <w:rPr>
          <w:lang w:val="en-US"/>
        </w:rPr>
      </w:pPr>
    </w:p>
  </w:footnote>
  <w:footnote w:id="11">
    <w:p w14:paraId="45B1C030" w14:textId="77777777" w:rsidR="009F3959" w:rsidRDefault="009F3959">
      <w:pPr>
        <w:pStyle w:val="FootnoteText"/>
      </w:pPr>
      <w:r>
        <w:rPr>
          <w:rStyle w:val="FootnoteReference"/>
        </w:rPr>
        <w:footnoteRef/>
      </w:r>
      <w:r>
        <w:t xml:space="preserve"> </w:t>
      </w:r>
      <w:r>
        <w:rPr>
          <w:color w:val="000000" w:themeColor="text1"/>
          <w:lang w:val="en-GB"/>
        </w:rPr>
        <w:t xml:space="preserve">Parole reports: total of 464 requests in 2024 received to evaluate eligibility of individuals for conditional release. </w:t>
      </w:r>
      <w:r>
        <w:t xml:space="preserve">Information source: State Probation Service (Latvia), Public Annual Report 2024; the figure was calculated by summing all requests for parole reports received during the calendar year and is </w:t>
      </w:r>
      <w:r>
        <w:rPr>
          <w:rStyle w:val="Strong"/>
        </w:rPr>
        <w:t>not</w:t>
      </w:r>
      <w:r>
        <w:t xml:space="preserve"> included in this section’s “Total (percentage)” calculation. </w:t>
      </w:r>
      <w:hyperlink r:id="rId10" w:history="1">
        <w:r w:rsidRPr="00283CC3">
          <w:rPr>
            <w:rStyle w:val="Hyperlink"/>
          </w:rPr>
          <w:t>https://www.vpd.gov.lv/lv/media/2135/download?attachment</w:t>
        </w:r>
      </w:hyperlink>
    </w:p>
    <w:p w14:paraId="4F26C355" w14:textId="77777777" w:rsidR="009F3959" w:rsidRDefault="009F3959">
      <w:pPr>
        <w:pStyle w:val="FootnoteText"/>
      </w:pPr>
    </w:p>
  </w:footnote>
  <w:footnote w:id="12">
    <w:p w14:paraId="3E026D4B" w14:textId="1E04EBD8" w:rsidR="00ED385E" w:rsidRDefault="00ED385E" w:rsidP="2F0114DB">
      <w:pPr>
        <w:pStyle w:val="FootnoteText"/>
        <w:contextualSpacing/>
        <w:rPr>
          <w:lang w:val="en-US"/>
        </w:rPr>
      </w:pPr>
      <w:r>
        <w:rPr>
          <w:rStyle w:val="FootnoteReference"/>
        </w:rPr>
        <w:footnoteRef/>
      </w:r>
      <w:r w:rsidR="2F0114DB">
        <w:t xml:space="preserve"> </w:t>
      </w:r>
      <w:r w:rsidR="2F0114DB" w:rsidRPr="2F0114DB">
        <w:rPr>
          <w:lang w:val="en-US"/>
        </w:rPr>
        <w:t xml:space="preserve">Sources: Aebi, M. F., Cid-Pozo, I., Molnar, L., &amp; Hashimoto, Y. Z. (2020, 2021, 2022, 2023, 2024). SPACE II Anual Reports 2020 –2024.  Council of Europe Annual Penal Statistics: Persons under the supervision of probation agencies. Council of Europe. </w:t>
      </w:r>
      <w:hyperlink r:id="rId11" w:history="1">
        <w:r w:rsidR="2F0114DB" w:rsidRPr="2F0114DB">
          <w:rPr>
            <w:rStyle w:val="Hyperlink"/>
            <w:lang w:val="en-US"/>
          </w:rPr>
          <w:t>https://wp.unil.ch/space/space-ii/annual-reports/</w:t>
        </w:r>
      </w:hyperlink>
      <w:r w:rsidR="2F0114DB" w:rsidRPr="2F0114DB">
        <w:rPr>
          <w:lang w:val="en-US"/>
        </w:rPr>
        <w:t xml:space="preserve"> </w:t>
      </w:r>
    </w:p>
    <w:p w14:paraId="7418943D" w14:textId="7781234E" w:rsidR="00ED385E" w:rsidRDefault="00ED385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A48A0"/>
    <w:multiLevelType w:val="hybridMultilevel"/>
    <w:tmpl w:val="EE642096"/>
    <w:lvl w:ilvl="0" w:tplc="7CD0ABD4">
      <w:start w:val="1"/>
      <w:numFmt w:val="decimal"/>
      <w:lvlText w:val="%1"/>
      <w:lvlJc w:val="left"/>
      <w:pPr>
        <w:ind w:left="5"/>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1" w:tplc="9364FA78">
      <w:start w:val="1"/>
      <w:numFmt w:val="lowerLetter"/>
      <w:lvlText w:val="%2"/>
      <w:lvlJc w:val="left"/>
      <w:pPr>
        <w:ind w:left="11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2" w:tplc="5498D42E">
      <w:start w:val="1"/>
      <w:numFmt w:val="lowerRoman"/>
      <w:lvlText w:val="%3"/>
      <w:lvlJc w:val="left"/>
      <w:pPr>
        <w:ind w:left="19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3" w:tplc="70B694DE">
      <w:start w:val="1"/>
      <w:numFmt w:val="decimal"/>
      <w:lvlText w:val="%4"/>
      <w:lvlJc w:val="left"/>
      <w:pPr>
        <w:ind w:left="26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4" w:tplc="7A30F852">
      <w:start w:val="1"/>
      <w:numFmt w:val="lowerLetter"/>
      <w:lvlText w:val="%5"/>
      <w:lvlJc w:val="left"/>
      <w:pPr>
        <w:ind w:left="33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5" w:tplc="1A8CCF16">
      <w:start w:val="1"/>
      <w:numFmt w:val="lowerRoman"/>
      <w:lvlText w:val="%6"/>
      <w:lvlJc w:val="left"/>
      <w:pPr>
        <w:ind w:left="40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6" w:tplc="37843328">
      <w:start w:val="1"/>
      <w:numFmt w:val="decimal"/>
      <w:lvlText w:val="%7"/>
      <w:lvlJc w:val="left"/>
      <w:pPr>
        <w:ind w:left="47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7" w:tplc="EEA4B1D8">
      <w:start w:val="1"/>
      <w:numFmt w:val="lowerLetter"/>
      <w:lvlText w:val="%8"/>
      <w:lvlJc w:val="left"/>
      <w:pPr>
        <w:ind w:left="55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lvl w:ilvl="8" w:tplc="2652A20A">
      <w:start w:val="1"/>
      <w:numFmt w:val="lowerRoman"/>
      <w:lvlText w:val="%9"/>
      <w:lvlJc w:val="left"/>
      <w:pPr>
        <w:ind w:left="62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superscript"/>
      </w:rPr>
    </w:lvl>
  </w:abstractNum>
  <w:abstractNum w:abstractNumId="1" w15:restartNumberingAfterBreak="0">
    <w:nsid w:val="1D6B7186"/>
    <w:multiLevelType w:val="hybridMultilevel"/>
    <w:tmpl w:val="1DC45570"/>
    <w:lvl w:ilvl="0" w:tplc="21B2121C">
      <w:start w:val="1"/>
      <w:numFmt w:val="decimal"/>
      <w:lvlText w:val="%1."/>
      <w:lvlJc w:val="left"/>
      <w:pPr>
        <w:ind w:left="720" w:hanging="360"/>
      </w:pPr>
    </w:lvl>
    <w:lvl w:ilvl="1" w:tplc="3DBE3632">
      <w:start w:val="1"/>
      <w:numFmt w:val="lowerLetter"/>
      <w:lvlText w:val="%2."/>
      <w:lvlJc w:val="left"/>
      <w:pPr>
        <w:ind w:left="1440" w:hanging="360"/>
      </w:pPr>
    </w:lvl>
    <w:lvl w:ilvl="2" w:tplc="A9189976">
      <w:start w:val="1"/>
      <w:numFmt w:val="lowerRoman"/>
      <w:lvlText w:val="%3."/>
      <w:lvlJc w:val="right"/>
      <w:pPr>
        <w:ind w:left="2160" w:hanging="180"/>
      </w:pPr>
    </w:lvl>
    <w:lvl w:ilvl="3" w:tplc="CF744730">
      <w:start w:val="1"/>
      <w:numFmt w:val="decimal"/>
      <w:lvlText w:val="%4."/>
      <w:lvlJc w:val="left"/>
      <w:pPr>
        <w:ind w:left="2880" w:hanging="360"/>
      </w:pPr>
    </w:lvl>
    <w:lvl w:ilvl="4" w:tplc="9130833C">
      <w:start w:val="1"/>
      <w:numFmt w:val="lowerLetter"/>
      <w:lvlText w:val="%5."/>
      <w:lvlJc w:val="left"/>
      <w:pPr>
        <w:ind w:left="3600" w:hanging="360"/>
      </w:pPr>
    </w:lvl>
    <w:lvl w:ilvl="5" w:tplc="FFC83EBC">
      <w:start w:val="1"/>
      <w:numFmt w:val="lowerRoman"/>
      <w:lvlText w:val="%6."/>
      <w:lvlJc w:val="right"/>
      <w:pPr>
        <w:ind w:left="4320" w:hanging="180"/>
      </w:pPr>
    </w:lvl>
    <w:lvl w:ilvl="6" w:tplc="1A30231E">
      <w:start w:val="1"/>
      <w:numFmt w:val="decimal"/>
      <w:lvlText w:val="%7."/>
      <w:lvlJc w:val="left"/>
      <w:pPr>
        <w:ind w:left="5040" w:hanging="360"/>
      </w:pPr>
    </w:lvl>
    <w:lvl w:ilvl="7" w:tplc="A0E4D72A">
      <w:start w:val="1"/>
      <w:numFmt w:val="lowerLetter"/>
      <w:lvlText w:val="%8."/>
      <w:lvlJc w:val="left"/>
      <w:pPr>
        <w:ind w:left="5760" w:hanging="360"/>
      </w:pPr>
    </w:lvl>
    <w:lvl w:ilvl="8" w:tplc="E40E89E2">
      <w:start w:val="1"/>
      <w:numFmt w:val="lowerRoman"/>
      <w:lvlText w:val="%9."/>
      <w:lvlJc w:val="right"/>
      <w:pPr>
        <w:ind w:left="6480" w:hanging="180"/>
      </w:pPr>
    </w:lvl>
  </w:abstractNum>
  <w:abstractNum w:abstractNumId="2" w15:restartNumberingAfterBreak="0">
    <w:nsid w:val="2A542341"/>
    <w:multiLevelType w:val="hybridMultilevel"/>
    <w:tmpl w:val="F76A2DB6"/>
    <w:lvl w:ilvl="0" w:tplc="6810CEB2">
      <w:start w:val="1"/>
      <w:numFmt w:val="bullet"/>
      <w:lvlText w:val="-"/>
      <w:lvlJc w:val="left"/>
      <w:pPr>
        <w:ind w:left="1080" w:hanging="360"/>
      </w:pPr>
      <w:rPr>
        <w:rFonts w:ascii="Calibri" w:eastAsiaTheme="minorEastAsia" w:hAnsi="Calibri" w:cs="Calibri"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FC7FEA1"/>
    <w:multiLevelType w:val="hybridMultilevel"/>
    <w:tmpl w:val="BC1AB81E"/>
    <w:lvl w:ilvl="0" w:tplc="CBA65320">
      <w:start w:val="1"/>
      <w:numFmt w:val="decimal"/>
      <w:lvlText w:val="%1."/>
      <w:lvlJc w:val="left"/>
      <w:pPr>
        <w:ind w:left="720" w:hanging="360"/>
      </w:pPr>
    </w:lvl>
    <w:lvl w:ilvl="1" w:tplc="646E4D44">
      <w:start w:val="1"/>
      <w:numFmt w:val="lowerLetter"/>
      <w:lvlText w:val="%2."/>
      <w:lvlJc w:val="left"/>
      <w:pPr>
        <w:ind w:left="1440" w:hanging="360"/>
      </w:pPr>
    </w:lvl>
    <w:lvl w:ilvl="2" w:tplc="82B27B3E">
      <w:start w:val="1"/>
      <w:numFmt w:val="lowerRoman"/>
      <w:lvlText w:val="%3."/>
      <w:lvlJc w:val="right"/>
      <w:pPr>
        <w:ind w:left="2160" w:hanging="180"/>
      </w:pPr>
    </w:lvl>
    <w:lvl w:ilvl="3" w:tplc="9E468F78">
      <w:start w:val="1"/>
      <w:numFmt w:val="decimal"/>
      <w:lvlText w:val="%4."/>
      <w:lvlJc w:val="left"/>
      <w:pPr>
        <w:ind w:left="2880" w:hanging="360"/>
      </w:pPr>
    </w:lvl>
    <w:lvl w:ilvl="4" w:tplc="597C40C0">
      <w:start w:val="1"/>
      <w:numFmt w:val="lowerLetter"/>
      <w:lvlText w:val="%5."/>
      <w:lvlJc w:val="left"/>
      <w:pPr>
        <w:ind w:left="3600" w:hanging="360"/>
      </w:pPr>
    </w:lvl>
    <w:lvl w:ilvl="5" w:tplc="8EA03CEE">
      <w:start w:val="1"/>
      <w:numFmt w:val="lowerRoman"/>
      <w:lvlText w:val="%6."/>
      <w:lvlJc w:val="right"/>
      <w:pPr>
        <w:ind w:left="4320" w:hanging="180"/>
      </w:pPr>
    </w:lvl>
    <w:lvl w:ilvl="6" w:tplc="D49E391E">
      <w:start w:val="1"/>
      <w:numFmt w:val="decimal"/>
      <w:lvlText w:val="%7."/>
      <w:lvlJc w:val="left"/>
      <w:pPr>
        <w:ind w:left="5040" w:hanging="360"/>
      </w:pPr>
    </w:lvl>
    <w:lvl w:ilvl="7" w:tplc="AB1CFE2E">
      <w:start w:val="1"/>
      <w:numFmt w:val="lowerLetter"/>
      <w:lvlText w:val="%8."/>
      <w:lvlJc w:val="left"/>
      <w:pPr>
        <w:ind w:left="5760" w:hanging="360"/>
      </w:pPr>
    </w:lvl>
    <w:lvl w:ilvl="8" w:tplc="D3585AC2">
      <w:start w:val="1"/>
      <w:numFmt w:val="lowerRoman"/>
      <w:lvlText w:val="%9."/>
      <w:lvlJc w:val="right"/>
      <w:pPr>
        <w:ind w:left="6480" w:hanging="180"/>
      </w:pPr>
    </w:lvl>
  </w:abstractNum>
  <w:abstractNum w:abstractNumId="4" w15:restartNumberingAfterBreak="0">
    <w:nsid w:val="30102CEF"/>
    <w:multiLevelType w:val="multilevel"/>
    <w:tmpl w:val="58E816DE"/>
    <w:lvl w:ilvl="0">
      <w:start w:val="1"/>
      <w:numFmt w:val="decimal"/>
      <w:lvlText w:val="%1."/>
      <w:lvlJc w:val="left"/>
      <w:pPr>
        <w:ind w:left="365" w:hanging="360"/>
      </w:pPr>
    </w:lvl>
    <w:lvl w:ilvl="1">
      <w:start w:val="1"/>
      <w:numFmt w:val="decimal"/>
      <w:lvlText w:val="%2."/>
      <w:lvlJc w:val="left"/>
      <w:pPr>
        <w:ind w:left="1085" w:hanging="360"/>
      </w:pPr>
    </w:lvl>
    <w:lvl w:ilvl="2">
      <w:start w:val="1"/>
      <w:numFmt w:val="decimal"/>
      <w:lvlText w:val="%1.%2.%3."/>
      <w:lvlJc w:val="left"/>
      <w:pPr>
        <w:ind w:left="1805" w:hanging="180"/>
      </w:pPr>
    </w:lvl>
    <w:lvl w:ilvl="3">
      <w:start w:val="1"/>
      <w:numFmt w:val="decimal"/>
      <w:lvlText w:val="%1.%2.%3.%4."/>
      <w:lvlJc w:val="left"/>
      <w:pPr>
        <w:ind w:left="2525" w:hanging="360"/>
      </w:pPr>
    </w:lvl>
    <w:lvl w:ilvl="4">
      <w:start w:val="1"/>
      <w:numFmt w:val="decimal"/>
      <w:lvlText w:val="%1.%2.%3.%4.%5."/>
      <w:lvlJc w:val="left"/>
      <w:pPr>
        <w:ind w:left="3245" w:hanging="360"/>
      </w:pPr>
    </w:lvl>
    <w:lvl w:ilvl="5">
      <w:start w:val="1"/>
      <w:numFmt w:val="decimal"/>
      <w:lvlText w:val="%1.%2.%3.%4.%5.%6."/>
      <w:lvlJc w:val="left"/>
      <w:pPr>
        <w:ind w:left="3965" w:hanging="180"/>
      </w:pPr>
    </w:lvl>
    <w:lvl w:ilvl="6">
      <w:start w:val="1"/>
      <w:numFmt w:val="decimal"/>
      <w:lvlText w:val="%1.%2.%3.%4.%5.%6.%7."/>
      <w:lvlJc w:val="left"/>
      <w:pPr>
        <w:ind w:left="4685" w:hanging="360"/>
      </w:pPr>
    </w:lvl>
    <w:lvl w:ilvl="7">
      <w:start w:val="1"/>
      <w:numFmt w:val="decimal"/>
      <w:lvlText w:val="%1.%2.%3.%4.%5.%6.%7.%8."/>
      <w:lvlJc w:val="left"/>
      <w:pPr>
        <w:ind w:left="5405" w:hanging="360"/>
      </w:pPr>
    </w:lvl>
    <w:lvl w:ilvl="8">
      <w:start w:val="1"/>
      <w:numFmt w:val="decimal"/>
      <w:lvlText w:val="%1.%2.%3.%4.%5.%6.%7.%8.%9."/>
      <w:lvlJc w:val="left"/>
      <w:pPr>
        <w:ind w:left="6125" w:hanging="180"/>
      </w:pPr>
    </w:lvl>
  </w:abstractNum>
  <w:abstractNum w:abstractNumId="5" w15:restartNumberingAfterBreak="0">
    <w:nsid w:val="44A5605E"/>
    <w:multiLevelType w:val="hybridMultilevel"/>
    <w:tmpl w:val="B7C0F8C4"/>
    <w:lvl w:ilvl="0" w:tplc="FF620A60">
      <w:start w:val="1"/>
      <w:numFmt w:val="bullet"/>
      <w:lvlText w:val="-"/>
      <w:lvlJc w:val="left"/>
      <w:pPr>
        <w:ind w:left="365" w:hanging="360"/>
      </w:pPr>
      <w:rPr>
        <w:rFonts w:ascii="Aptos" w:hAnsi="Aptos" w:hint="default"/>
      </w:rPr>
    </w:lvl>
    <w:lvl w:ilvl="1" w:tplc="6274647A">
      <w:start w:val="1"/>
      <w:numFmt w:val="bullet"/>
      <w:lvlText w:val="o"/>
      <w:lvlJc w:val="left"/>
      <w:pPr>
        <w:ind w:left="1085" w:hanging="360"/>
      </w:pPr>
      <w:rPr>
        <w:rFonts w:ascii="Courier New" w:hAnsi="Courier New" w:hint="default"/>
      </w:rPr>
    </w:lvl>
    <w:lvl w:ilvl="2" w:tplc="FAF41954">
      <w:start w:val="1"/>
      <w:numFmt w:val="bullet"/>
      <w:lvlText w:val=""/>
      <w:lvlJc w:val="left"/>
      <w:pPr>
        <w:ind w:left="1805" w:hanging="360"/>
      </w:pPr>
      <w:rPr>
        <w:rFonts w:ascii="Wingdings" w:hAnsi="Wingdings" w:hint="default"/>
      </w:rPr>
    </w:lvl>
    <w:lvl w:ilvl="3" w:tplc="087A8976">
      <w:start w:val="1"/>
      <w:numFmt w:val="bullet"/>
      <w:lvlText w:val=""/>
      <w:lvlJc w:val="left"/>
      <w:pPr>
        <w:ind w:left="2525" w:hanging="360"/>
      </w:pPr>
      <w:rPr>
        <w:rFonts w:ascii="Symbol" w:hAnsi="Symbol" w:hint="default"/>
      </w:rPr>
    </w:lvl>
    <w:lvl w:ilvl="4" w:tplc="E180669E">
      <w:start w:val="1"/>
      <w:numFmt w:val="bullet"/>
      <w:lvlText w:val="o"/>
      <w:lvlJc w:val="left"/>
      <w:pPr>
        <w:ind w:left="3245" w:hanging="360"/>
      </w:pPr>
      <w:rPr>
        <w:rFonts w:ascii="Courier New" w:hAnsi="Courier New" w:hint="default"/>
      </w:rPr>
    </w:lvl>
    <w:lvl w:ilvl="5" w:tplc="12EA0DFC">
      <w:start w:val="1"/>
      <w:numFmt w:val="bullet"/>
      <w:lvlText w:val=""/>
      <w:lvlJc w:val="left"/>
      <w:pPr>
        <w:ind w:left="3965" w:hanging="360"/>
      </w:pPr>
      <w:rPr>
        <w:rFonts w:ascii="Wingdings" w:hAnsi="Wingdings" w:hint="default"/>
      </w:rPr>
    </w:lvl>
    <w:lvl w:ilvl="6" w:tplc="E5629496">
      <w:start w:val="1"/>
      <w:numFmt w:val="bullet"/>
      <w:lvlText w:val=""/>
      <w:lvlJc w:val="left"/>
      <w:pPr>
        <w:ind w:left="4685" w:hanging="360"/>
      </w:pPr>
      <w:rPr>
        <w:rFonts w:ascii="Symbol" w:hAnsi="Symbol" w:hint="default"/>
      </w:rPr>
    </w:lvl>
    <w:lvl w:ilvl="7" w:tplc="E154DC68">
      <w:start w:val="1"/>
      <w:numFmt w:val="bullet"/>
      <w:lvlText w:val="o"/>
      <w:lvlJc w:val="left"/>
      <w:pPr>
        <w:ind w:left="5405" w:hanging="360"/>
      </w:pPr>
      <w:rPr>
        <w:rFonts w:ascii="Courier New" w:hAnsi="Courier New" w:hint="default"/>
      </w:rPr>
    </w:lvl>
    <w:lvl w:ilvl="8" w:tplc="1F44D342">
      <w:start w:val="1"/>
      <w:numFmt w:val="bullet"/>
      <w:lvlText w:val=""/>
      <w:lvlJc w:val="left"/>
      <w:pPr>
        <w:ind w:left="6125" w:hanging="360"/>
      </w:pPr>
      <w:rPr>
        <w:rFonts w:ascii="Wingdings" w:hAnsi="Wingdings" w:hint="default"/>
      </w:rPr>
    </w:lvl>
  </w:abstractNum>
  <w:abstractNum w:abstractNumId="6" w15:restartNumberingAfterBreak="0">
    <w:nsid w:val="4605AD1D"/>
    <w:multiLevelType w:val="multilevel"/>
    <w:tmpl w:val="19F2B1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617C9D61"/>
    <w:multiLevelType w:val="hybridMultilevel"/>
    <w:tmpl w:val="22CA082E"/>
    <w:lvl w:ilvl="0" w:tplc="34A4D4AC">
      <w:start w:val="1"/>
      <w:numFmt w:val="decimal"/>
      <w:lvlText w:val="%1."/>
      <w:lvlJc w:val="left"/>
      <w:pPr>
        <w:ind w:left="720" w:hanging="360"/>
      </w:pPr>
    </w:lvl>
    <w:lvl w:ilvl="1" w:tplc="4A6CA7EE">
      <w:start w:val="1"/>
      <w:numFmt w:val="lowerLetter"/>
      <w:lvlText w:val="%2."/>
      <w:lvlJc w:val="left"/>
      <w:pPr>
        <w:ind w:left="1440" w:hanging="360"/>
      </w:pPr>
    </w:lvl>
    <w:lvl w:ilvl="2" w:tplc="F9804794">
      <w:start w:val="1"/>
      <w:numFmt w:val="lowerRoman"/>
      <w:lvlText w:val="%3."/>
      <w:lvlJc w:val="right"/>
      <w:pPr>
        <w:ind w:left="2160" w:hanging="180"/>
      </w:pPr>
    </w:lvl>
    <w:lvl w:ilvl="3" w:tplc="80025F04">
      <w:start w:val="1"/>
      <w:numFmt w:val="decimal"/>
      <w:lvlText w:val="%4."/>
      <w:lvlJc w:val="left"/>
      <w:pPr>
        <w:ind w:left="2880" w:hanging="360"/>
      </w:pPr>
    </w:lvl>
    <w:lvl w:ilvl="4" w:tplc="A710ADDE">
      <w:start w:val="1"/>
      <w:numFmt w:val="lowerLetter"/>
      <w:lvlText w:val="%5."/>
      <w:lvlJc w:val="left"/>
      <w:pPr>
        <w:ind w:left="3600" w:hanging="360"/>
      </w:pPr>
    </w:lvl>
    <w:lvl w:ilvl="5" w:tplc="89DEA7A0">
      <w:start w:val="1"/>
      <w:numFmt w:val="lowerRoman"/>
      <w:lvlText w:val="%6."/>
      <w:lvlJc w:val="right"/>
      <w:pPr>
        <w:ind w:left="4320" w:hanging="180"/>
      </w:pPr>
    </w:lvl>
    <w:lvl w:ilvl="6" w:tplc="52A29136">
      <w:start w:val="1"/>
      <w:numFmt w:val="decimal"/>
      <w:lvlText w:val="%7."/>
      <w:lvlJc w:val="left"/>
      <w:pPr>
        <w:ind w:left="5040" w:hanging="360"/>
      </w:pPr>
    </w:lvl>
    <w:lvl w:ilvl="7" w:tplc="3A62554E">
      <w:start w:val="1"/>
      <w:numFmt w:val="lowerLetter"/>
      <w:lvlText w:val="%8."/>
      <w:lvlJc w:val="left"/>
      <w:pPr>
        <w:ind w:left="5760" w:hanging="360"/>
      </w:pPr>
    </w:lvl>
    <w:lvl w:ilvl="8" w:tplc="1D76B338">
      <w:start w:val="1"/>
      <w:numFmt w:val="lowerRoman"/>
      <w:lvlText w:val="%9."/>
      <w:lvlJc w:val="right"/>
      <w:pPr>
        <w:ind w:left="6480" w:hanging="180"/>
      </w:pPr>
    </w:lvl>
  </w:abstractNum>
  <w:num w:numId="1" w16cid:durableId="323969306">
    <w:abstractNumId w:val="3"/>
  </w:num>
  <w:num w:numId="2" w16cid:durableId="263922166">
    <w:abstractNumId w:val="7"/>
  </w:num>
  <w:num w:numId="3" w16cid:durableId="1804033619">
    <w:abstractNumId w:val="1"/>
  </w:num>
  <w:num w:numId="4" w16cid:durableId="287273994">
    <w:abstractNumId w:val="6"/>
  </w:num>
  <w:num w:numId="5" w16cid:durableId="715087755">
    <w:abstractNumId w:val="4"/>
  </w:num>
  <w:num w:numId="6" w16cid:durableId="988290666">
    <w:abstractNumId w:val="5"/>
  </w:num>
  <w:num w:numId="7" w16cid:durableId="334193374">
    <w:abstractNumId w:val="0"/>
  </w:num>
  <w:num w:numId="8" w16cid:durableId="7609487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ants Jurevičius">
    <w15:presenceInfo w15:providerId="AD" w15:userId="S-1-5-21-3313685600-2057428580-2752540593-20076"/>
  </w15:person>
  <w15:person w15:author="Jānis Nicmanis">
    <w15:presenceInfo w15:providerId="AD" w15:userId="S-1-5-21-3313685600-2057428580-2752540593-40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CAC"/>
    <w:rsid w:val="0001652A"/>
    <w:rsid w:val="000359A2"/>
    <w:rsid w:val="000626F2"/>
    <w:rsid w:val="000641C7"/>
    <w:rsid w:val="000A06AD"/>
    <w:rsid w:val="0014103D"/>
    <w:rsid w:val="001558A6"/>
    <w:rsid w:val="00185021"/>
    <w:rsid w:val="00192B50"/>
    <w:rsid w:val="00266865"/>
    <w:rsid w:val="002963BD"/>
    <w:rsid w:val="002A34DD"/>
    <w:rsid w:val="002F0F9A"/>
    <w:rsid w:val="002F6E3A"/>
    <w:rsid w:val="0030580C"/>
    <w:rsid w:val="00333ACC"/>
    <w:rsid w:val="00366999"/>
    <w:rsid w:val="00395D2C"/>
    <w:rsid w:val="003B55FE"/>
    <w:rsid w:val="003F4F30"/>
    <w:rsid w:val="00446F82"/>
    <w:rsid w:val="004B6FBC"/>
    <w:rsid w:val="004F2A3A"/>
    <w:rsid w:val="00504A39"/>
    <w:rsid w:val="005B57B4"/>
    <w:rsid w:val="005D0B1E"/>
    <w:rsid w:val="00622AD3"/>
    <w:rsid w:val="00637063"/>
    <w:rsid w:val="00710350"/>
    <w:rsid w:val="00715C52"/>
    <w:rsid w:val="0077123D"/>
    <w:rsid w:val="00791AAC"/>
    <w:rsid w:val="007A68DA"/>
    <w:rsid w:val="007F1030"/>
    <w:rsid w:val="00815CB4"/>
    <w:rsid w:val="0086530D"/>
    <w:rsid w:val="008B3584"/>
    <w:rsid w:val="008B564C"/>
    <w:rsid w:val="00900275"/>
    <w:rsid w:val="00904C00"/>
    <w:rsid w:val="009927CA"/>
    <w:rsid w:val="009F3959"/>
    <w:rsid w:val="00A34830"/>
    <w:rsid w:val="00A41A72"/>
    <w:rsid w:val="00A72C06"/>
    <w:rsid w:val="00A81EFA"/>
    <w:rsid w:val="00AB05A8"/>
    <w:rsid w:val="00AB1BAE"/>
    <w:rsid w:val="00B47FC0"/>
    <w:rsid w:val="00B647BA"/>
    <w:rsid w:val="00B8251B"/>
    <w:rsid w:val="00BC0D97"/>
    <w:rsid w:val="00BD37C0"/>
    <w:rsid w:val="00C41BA6"/>
    <w:rsid w:val="00C55213"/>
    <w:rsid w:val="00C804F2"/>
    <w:rsid w:val="00CE0BE4"/>
    <w:rsid w:val="00D93034"/>
    <w:rsid w:val="00E83CAC"/>
    <w:rsid w:val="00ED385E"/>
    <w:rsid w:val="00EF0465"/>
    <w:rsid w:val="00F4136C"/>
    <w:rsid w:val="00FE7963"/>
    <w:rsid w:val="01A75D78"/>
    <w:rsid w:val="01FBC4F8"/>
    <w:rsid w:val="021E298F"/>
    <w:rsid w:val="02801827"/>
    <w:rsid w:val="03CC8DB0"/>
    <w:rsid w:val="046303B7"/>
    <w:rsid w:val="0481DB03"/>
    <w:rsid w:val="052AD62D"/>
    <w:rsid w:val="056087BD"/>
    <w:rsid w:val="05764DFB"/>
    <w:rsid w:val="057665B7"/>
    <w:rsid w:val="05E12342"/>
    <w:rsid w:val="061D0229"/>
    <w:rsid w:val="06C621CA"/>
    <w:rsid w:val="06D070B4"/>
    <w:rsid w:val="0755EBBE"/>
    <w:rsid w:val="07EEECAB"/>
    <w:rsid w:val="08AC6DA1"/>
    <w:rsid w:val="08D0EB36"/>
    <w:rsid w:val="098D6E76"/>
    <w:rsid w:val="0A4315AE"/>
    <w:rsid w:val="0AE254B9"/>
    <w:rsid w:val="0B80AE28"/>
    <w:rsid w:val="0B942575"/>
    <w:rsid w:val="0C197FFE"/>
    <w:rsid w:val="0D089CB7"/>
    <w:rsid w:val="0DAEFAEA"/>
    <w:rsid w:val="0E566EEF"/>
    <w:rsid w:val="0EA28BA8"/>
    <w:rsid w:val="0EF2AB71"/>
    <w:rsid w:val="0F2F010C"/>
    <w:rsid w:val="0F683585"/>
    <w:rsid w:val="0F898DB4"/>
    <w:rsid w:val="0FB64ACA"/>
    <w:rsid w:val="114363A1"/>
    <w:rsid w:val="11727CD2"/>
    <w:rsid w:val="117D5382"/>
    <w:rsid w:val="119840F7"/>
    <w:rsid w:val="11CC8C8B"/>
    <w:rsid w:val="11F2D1F2"/>
    <w:rsid w:val="12135973"/>
    <w:rsid w:val="130B592A"/>
    <w:rsid w:val="1519208B"/>
    <w:rsid w:val="153E1EFC"/>
    <w:rsid w:val="1583AD05"/>
    <w:rsid w:val="16C8B745"/>
    <w:rsid w:val="1757645F"/>
    <w:rsid w:val="1790B84F"/>
    <w:rsid w:val="17A7A095"/>
    <w:rsid w:val="184A6397"/>
    <w:rsid w:val="1889DA36"/>
    <w:rsid w:val="189CC3B5"/>
    <w:rsid w:val="18E356C0"/>
    <w:rsid w:val="18E3E9BA"/>
    <w:rsid w:val="1995CB59"/>
    <w:rsid w:val="19B2C7A9"/>
    <w:rsid w:val="1A02C80A"/>
    <w:rsid w:val="1A08EE1C"/>
    <w:rsid w:val="1A0AFF9E"/>
    <w:rsid w:val="1A2B5A32"/>
    <w:rsid w:val="1A2D516C"/>
    <w:rsid w:val="1A86336B"/>
    <w:rsid w:val="1ADEFAF0"/>
    <w:rsid w:val="1B2A057A"/>
    <w:rsid w:val="1C97491E"/>
    <w:rsid w:val="1D108DE5"/>
    <w:rsid w:val="1D16598F"/>
    <w:rsid w:val="1D530044"/>
    <w:rsid w:val="1D8B9E7B"/>
    <w:rsid w:val="1DB86163"/>
    <w:rsid w:val="2026E02D"/>
    <w:rsid w:val="20C2EBA6"/>
    <w:rsid w:val="213AB78E"/>
    <w:rsid w:val="215A1686"/>
    <w:rsid w:val="21E0C381"/>
    <w:rsid w:val="21ECB490"/>
    <w:rsid w:val="222DC799"/>
    <w:rsid w:val="225C62E3"/>
    <w:rsid w:val="23CEF8AB"/>
    <w:rsid w:val="248EB43C"/>
    <w:rsid w:val="24DE86DF"/>
    <w:rsid w:val="2505DD34"/>
    <w:rsid w:val="25AC394C"/>
    <w:rsid w:val="27B2A76C"/>
    <w:rsid w:val="27EB5243"/>
    <w:rsid w:val="2818FE1F"/>
    <w:rsid w:val="28354FF1"/>
    <w:rsid w:val="2861B045"/>
    <w:rsid w:val="286E597C"/>
    <w:rsid w:val="28A79F09"/>
    <w:rsid w:val="29640828"/>
    <w:rsid w:val="29DD5FEB"/>
    <w:rsid w:val="2AF0DE00"/>
    <w:rsid w:val="2B619AA8"/>
    <w:rsid w:val="2BF31E8E"/>
    <w:rsid w:val="2C216363"/>
    <w:rsid w:val="2C345DE1"/>
    <w:rsid w:val="2C4CAB40"/>
    <w:rsid w:val="2C623332"/>
    <w:rsid w:val="2C9261A4"/>
    <w:rsid w:val="2C95E49B"/>
    <w:rsid w:val="2D039C4E"/>
    <w:rsid w:val="2D1F8CC1"/>
    <w:rsid w:val="2D4B1865"/>
    <w:rsid w:val="2DB6FAFA"/>
    <w:rsid w:val="2DD680EC"/>
    <w:rsid w:val="2E09958D"/>
    <w:rsid w:val="2E589143"/>
    <w:rsid w:val="2EB9BB8A"/>
    <w:rsid w:val="2EBBDCFA"/>
    <w:rsid w:val="2EDCAB13"/>
    <w:rsid w:val="2F0114DB"/>
    <w:rsid w:val="2FA79A07"/>
    <w:rsid w:val="309980FB"/>
    <w:rsid w:val="30F568F7"/>
    <w:rsid w:val="311CA2E2"/>
    <w:rsid w:val="3181CF77"/>
    <w:rsid w:val="31DB081C"/>
    <w:rsid w:val="31DEC180"/>
    <w:rsid w:val="32D125CA"/>
    <w:rsid w:val="339D9D6A"/>
    <w:rsid w:val="3522AB2C"/>
    <w:rsid w:val="365B9DAF"/>
    <w:rsid w:val="36B22996"/>
    <w:rsid w:val="37483F55"/>
    <w:rsid w:val="375BDB42"/>
    <w:rsid w:val="37B539ED"/>
    <w:rsid w:val="38ED69AD"/>
    <w:rsid w:val="39540394"/>
    <w:rsid w:val="39EF75E4"/>
    <w:rsid w:val="3BC7ACB1"/>
    <w:rsid w:val="3BD65F4C"/>
    <w:rsid w:val="3BE75941"/>
    <w:rsid w:val="3C98B0DF"/>
    <w:rsid w:val="3DE51BB7"/>
    <w:rsid w:val="3E3CA12C"/>
    <w:rsid w:val="3E3E3AE5"/>
    <w:rsid w:val="40A05075"/>
    <w:rsid w:val="41086619"/>
    <w:rsid w:val="412247C6"/>
    <w:rsid w:val="414BDA56"/>
    <w:rsid w:val="4182EDE6"/>
    <w:rsid w:val="41B7C8EE"/>
    <w:rsid w:val="43400D71"/>
    <w:rsid w:val="443ACC14"/>
    <w:rsid w:val="44A0FD6A"/>
    <w:rsid w:val="4518F434"/>
    <w:rsid w:val="45C1F3DC"/>
    <w:rsid w:val="46284CF3"/>
    <w:rsid w:val="462E8F32"/>
    <w:rsid w:val="46352370"/>
    <w:rsid w:val="464CBF7E"/>
    <w:rsid w:val="469164A8"/>
    <w:rsid w:val="46B11163"/>
    <w:rsid w:val="46FA0F7E"/>
    <w:rsid w:val="479BBE70"/>
    <w:rsid w:val="484F898C"/>
    <w:rsid w:val="48588666"/>
    <w:rsid w:val="48B107F8"/>
    <w:rsid w:val="48D2AC57"/>
    <w:rsid w:val="48FE7F17"/>
    <w:rsid w:val="48FF3D00"/>
    <w:rsid w:val="4A073284"/>
    <w:rsid w:val="4A2EE3EF"/>
    <w:rsid w:val="4A54A2CF"/>
    <w:rsid w:val="4B4FABF9"/>
    <w:rsid w:val="4C1FA942"/>
    <w:rsid w:val="4C272636"/>
    <w:rsid w:val="4C87C358"/>
    <w:rsid w:val="4D1B9C5F"/>
    <w:rsid w:val="4D6B4C82"/>
    <w:rsid w:val="4D85D7A5"/>
    <w:rsid w:val="4DCBAACE"/>
    <w:rsid w:val="4E0F5462"/>
    <w:rsid w:val="4E5B1C81"/>
    <w:rsid w:val="4EDD11A1"/>
    <w:rsid w:val="4F293F1B"/>
    <w:rsid w:val="4F8EAAAA"/>
    <w:rsid w:val="4FD06F23"/>
    <w:rsid w:val="502EECB3"/>
    <w:rsid w:val="5055E8A7"/>
    <w:rsid w:val="50662931"/>
    <w:rsid w:val="50B712BE"/>
    <w:rsid w:val="50E23E13"/>
    <w:rsid w:val="516746C0"/>
    <w:rsid w:val="517B295F"/>
    <w:rsid w:val="521D58B2"/>
    <w:rsid w:val="52715286"/>
    <w:rsid w:val="53334DDB"/>
    <w:rsid w:val="53542F36"/>
    <w:rsid w:val="538128E0"/>
    <w:rsid w:val="539A4447"/>
    <w:rsid w:val="53AF8CA7"/>
    <w:rsid w:val="53FC8B63"/>
    <w:rsid w:val="54115531"/>
    <w:rsid w:val="5453F977"/>
    <w:rsid w:val="5484224C"/>
    <w:rsid w:val="54C1E53C"/>
    <w:rsid w:val="54EB4851"/>
    <w:rsid w:val="55E91DB7"/>
    <w:rsid w:val="561702E9"/>
    <w:rsid w:val="5659A289"/>
    <w:rsid w:val="5682D308"/>
    <w:rsid w:val="575EE1E7"/>
    <w:rsid w:val="577417FA"/>
    <w:rsid w:val="57A9FCAD"/>
    <w:rsid w:val="57F7C024"/>
    <w:rsid w:val="5851ED55"/>
    <w:rsid w:val="5870BFCE"/>
    <w:rsid w:val="59133635"/>
    <w:rsid w:val="59BE14E0"/>
    <w:rsid w:val="5A87F3BB"/>
    <w:rsid w:val="5A98FE3F"/>
    <w:rsid w:val="5B7248E5"/>
    <w:rsid w:val="5C1ED257"/>
    <w:rsid w:val="5DA09C2B"/>
    <w:rsid w:val="5E8F8051"/>
    <w:rsid w:val="5FCA99A4"/>
    <w:rsid w:val="60030DD1"/>
    <w:rsid w:val="608E55C6"/>
    <w:rsid w:val="60C6B5CE"/>
    <w:rsid w:val="6132BFEF"/>
    <w:rsid w:val="616C606F"/>
    <w:rsid w:val="627639D7"/>
    <w:rsid w:val="62CB5CFA"/>
    <w:rsid w:val="632F8306"/>
    <w:rsid w:val="63C1E730"/>
    <w:rsid w:val="63DED32D"/>
    <w:rsid w:val="6401051D"/>
    <w:rsid w:val="6480EDA7"/>
    <w:rsid w:val="651AC1B8"/>
    <w:rsid w:val="6597E3B8"/>
    <w:rsid w:val="65D91EC4"/>
    <w:rsid w:val="65DCB503"/>
    <w:rsid w:val="65F17CBC"/>
    <w:rsid w:val="65F44461"/>
    <w:rsid w:val="66685894"/>
    <w:rsid w:val="66904602"/>
    <w:rsid w:val="672A64D5"/>
    <w:rsid w:val="6738FA0E"/>
    <w:rsid w:val="674F0B8C"/>
    <w:rsid w:val="67CD7354"/>
    <w:rsid w:val="67E536B3"/>
    <w:rsid w:val="68013F12"/>
    <w:rsid w:val="683A8EBA"/>
    <w:rsid w:val="68563DC0"/>
    <w:rsid w:val="68C81B60"/>
    <w:rsid w:val="6BC20101"/>
    <w:rsid w:val="6C0947B3"/>
    <w:rsid w:val="6C79E082"/>
    <w:rsid w:val="6CFA5ECD"/>
    <w:rsid w:val="6D499698"/>
    <w:rsid w:val="6E155D91"/>
    <w:rsid w:val="6F01D6FB"/>
    <w:rsid w:val="6F4E02A7"/>
    <w:rsid w:val="6F8951EA"/>
    <w:rsid w:val="6FF9C3C4"/>
    <w:rsid w:val="705673FA"/>
    <w:rsid w:val="7085F586"/>
    <w:rsid w:val="70F98B6E"/>
    <w:rsid w:val="7121E64A"/>
    <w:rsid w:val="7154093B"/>
    <w:rsid w:val="71D95E72"/>
    <w:rsid w:val="7205DDC8"/>
    <w:rsid w:val="72A01CE2"/>
    <w:rsid w:val="72F9994B"/>
    <w:rsid w:val="73E6A25D"/>
    <w:rsid w:val="74634C49"/>
    <w:rsid w:val="752105BB"/>
    <w:rsid w:val="75372797"/>
    <w:rsid w:val="7597536F"/>
    <w:rsid w:val="75D6CB79"/>
    <w:rsid w:val="75EABE13"/>
    <w:rsid w:val="76BC4195"/>
    <w:rsid w:val="77B0926E"/>
    <w:rsid w:val="77C28F40"/>
    <w:rsid w:val="7870E78F"/>
    <w:rsid w:val="791EFCC6"/>
    <w:rsid w:val="79860818"/>
    <w:rsid w:val="79981858"/>
    <w:rsid w:val="79A87B9A"/>
    <w:rsid w:val="79AEE723"/>
    <w:rsid w:val="7A2B0711"/>
    <w:rsid w:val="7BA6A5D1"/>
    <w:rsid w:val="7BD9A5F0"/>
    <w:rsid w:val="7BE1DA79"/>
    <w:rsid w:val="7CAF5066"/>
    <w:rsid w:val="7CBE7F00"/>
    <w:rsid w:val="7CCE124E"/>
    <w:rsid w:val="7CD07A1F"/>
    <w:rsid w:val="7D60A5FB"/>
    <w:rsid w:val="7E55DA01"/>
    <w:rsid w:val="7EEE6165"/>
    <w:rsid w:val="7F1DA62E"/>
    <w:rsid w:val="7FB4B1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AEC8"/>
  <w15:docId w15:val="{F951EB2A-A0B5-43DA-A107-9F4F3DA2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right"/>
    </w:pPr>
    <w:rPr>
      <w:rFonts w:ascii="Verdana" w:eastAsia="Verdana" w:hAnsi="Verdana" w:cs="Verdan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mphasis">
    <w:name w:val="Emphasis"/>
    <w:uiPriority w:val="20"/>
    <w:qFormat/>
    <w:rsid w:val="54EB4851"/>
    <w:rPr>
      <w:i/>
      <w:iCs/>
    </w:rPr>
  </w:style>
  <w:style w:type="character" w:styleId="Strong">
    <w:name w:val="Strong"/>
    <w:uiPriority w:val="22"/>
    <w:qFormat/>
    <w:rsid w:val="54EB4851"/>
    <w:rPr>
      <w:b/>
      <w:bCs/>
    </w:rPr>
  </w:style>
  <w:style w:type="character" w:styleId="Hyperlink">
    <w:name w:val="Hyperlink"/>
    <w:uiPriority w:val="99"/>
    <w:unhideWhenUsed/>
    <w:rsid w:val="54EB4851"/>
    <w:rPr>
      <w:color w:val="0000FF"/>
      <w:u w:val="single"/>
    </w:rPr>
  </w:style>
  <w:style w:type="paragraph" w:styleId="FootnoteText">
    <w:name w:val="footnote text"/>
    <w:uiPriority w:val="99"/>
    <w:semiHidden/>
    <w:unhideWhenUsed/>
    <w:rsid w:val="54EB4851"/>
    <w:pPr>
      <w:spacing w:after="0" w:line="240" w:lineRule="auto"/>
    </w:pPr>
    <w:rPr>
      <w:sz w:val="20"/>
      <w:szCs w:val="20"/>
    </w:rPr>
  </w:style>
  <w:style w:type="character" w:styleId="FootnoteReference">
    <w:name w:val="footnote reference"/>
    <w:uiPriority w:val="99"/>
    <w:semiHidden/>
    <w:unhideWhenUsed/>
    <w:rsid w:val="54EB4851"/>
    <w:rPr>
      <w:vertAlign w:val="superscript"/>
    </w:rPr>
  </w:style>
  <w:style w:type="paragraph" w:styleId="CommentText">
    <w:name w:val="annotation text"/>
    <w:link w:val="CommentTextChar"/>
    <w:uiPriority w:val="99"/>
    <w:semiHidden/>
    <w:unhideWhenUsed/>
    <w:rsid w:val="2F0114DB"/>
    <w:pPr>
      <w:spacing w:line="240" w:lineRule="auto"/>
    </w:pPr>
    <w:rPr>
      <w:sz w:val="20"/>
      <w:szCs w:val="20"/>
    </w:rPr>
  </w:style>
  <w:style w:type="character" w:customStyle="1" w:styleId="CommentTextChar">
    <w:name w:val="Comment Text Char"/>
    <w:link w:val="CommentText"/>
    <w:uiPriority w:val="99"/>
    <w:semiHidden/>
    <w:rsid w:val="2F0114DB"/>
    <w:rPr>
      <w:rFonts w:ascii="Verdana" w:eastAsia="Verdana" w:hAnsi="Verdana" w:cs="Verdana"/>
      <w:color w:val="000000" w:themeColor="text1"/>
      <w:sz w:val="20"/>
      <w:szCs w:val="20"/>
    </w:rPr>
  </w:style>
  <w:style w:type="character" w:styleId="CommentReference">
    <w:name w:val="annotation reference"/>
    <w:uiPriority w:val="99"/>
    <w:semiHidden/>
    <w:unhideWhenUsed/>
    <w:rsid w:val="2F0114DB"/>
    <w:rPr>
      <w:sz w:val="16"/>
      <w:szCs w:val="16"/>
    </w:rPr>
  </w:style>
  <w:style w:type="paragraph" w:styleId="BalloonText">
    <w:name w:val="Balloon Text"/>
    <w:link w:val="BalloonTextChar"/>
    <w:uiPriority w:val="99"/>
    <w:semiHidden/>
    <w:unhideWhenUsed/>
    <w:rsid w:val="2F0114D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2F0114DB"/>
    <w:rPr>
      <w:rFonts w:ascii="Segoe UI" w:eastAsia="Verdana" w:hAnsi="Segoe UI" w:cs="Segoe UI"/>
      <w:color w:val="000000" w:themeColor="text1"/>
      <w:sz w:val="18"/>
      <w:szCs w:val="18"/>
    </w:rPr>
  </w:style>
  <w:style w:type="character" w:styleId="UnresolvedMention">
    <w:name w:val="Unresolved Mention"/>
    <w:uiPriority w:val="99"/>
    <w:semiHidden/>
    <w:unhideWhenUsed/>
    <w:rsid w:val="2F0114DB"/>
    <w:rPr>
      <w:color w:val="605E5C"/>
    </w:rPr>
  </w:style>
  <w:style w:type="paragraph" w:styleId="ListParagraph">
    <w:name w:val="List Paragraph"/>
    <w:uiPriority w:val="34"/>
    <w:qFormat/>
    <w:rsid w:val="2F0114DB"/>
    <w:pPr>
      <w:ind w:left="720"/>
      <w:contextualSpacing/>
    </w:pPr>
  </w:style>
  <w:style w:type="paragraph" w:styleId="EndnoteText">
    <w:name w:val="endnote text"/>
    <w:uiPriority w:val="99"/>
    <w:semiHidden/>
    <w:unhideWhenUsed/>
    <w:rsid w:val="2F0114DB"/>
    <w:pPr>
      <w:spacing w:after="0" w:line="240" w:lineRule="auto"/>
    </w:pPr>
    <w:rPr>
      <w:sz w:val="20"/>
      <w:szCs w:val="20"/>
    </w:rPr>
  </w:style>
  <w:style w:type="character" w:styleId="EndnoteReference">
    <w:name w:val="endnote reference"/>
    <w:uiPriority w:val="99"/>
    <w:semiHidden/>
    <w:unhideWhenUsed/>
    <w:rsid w:val="2F0114DB"/>
    <w:rPr>
      <w:vertAlign w:val="superscript"/>
    </w:rPr>
  </w:style>
  <w:style w:type="paragraph" w:styleId="CommentSubject">
    <w:name w:val="annotation subject"/>
    <w:basedOn w:val="CommentText"/>
    <w:next w:val="CommentText"/>
    <w:link w:val="CommentSubjectChar"/>
    <w:uiPriority w:val="99"/>
    <w:semiHidden/>
    <w:unhideWhenUsed/>
    <w:rsid w:val="00B647BA"/>
    <w:pPr>
      <w:spacing w:after="0"/>
      <w:jc w:val="right"/>
    </w:pPr>
    <w:rPr>
      <w:rFonts w:ascii="Verdana" w:eastAsia="Verdana" w:hAnsi="Verdana" w:cs="Verdana"/>
      <w:b/>
      <w:bCs/>
      <w:color w:val="000000"/>
    </w:rPr>
  </w:style>
  <w:style w:type="character" w:customStyle="1" w:styleId="CommentSubjectChar">
    <w:name w:val="Comment Subject Char"/>
    <w:basedOn w:val="CommentTextChar"/>
    <w:link w:val="CommentSubject"/>
    <w:uiPriority w:val="99"/>
    <w:semiHidden/>
    <w:rsid w:val="00B647BA"/>
    <w:rPr>
      <w:rFonts w:ascii="Verdana" w:eastAsia="Verdana" w:hAnsi="Verdana" w:cs="Verdana"/>
      <w:b/>
      <w:bCs/>
      <w:color w:val="000000"/>
      <w:sz w:val="20"/>
      <w:szCs w:val="20"/>
    </w:rPr>
  </w:style>
  <w:style w:type="character" w:customStyle="1" w:styleId="citation-136">
    <w:name w:val="citation-136"/>
    <w:basedOn w:val="DefaultParagraphFont"/>
    <w:rsid w:val="00C804F2"/>
  </w:style>
  <w:style w:type="character" w:styleId="FollowedHyperlink">
    <w:name w:val="FollowedHyperlink"/>
    <w:basedOn w:val="DefaultParagraphFont"/>
    <w:uiPriority w:val="99"/>
    <w:semiHidden/>
    <w:unhideWhenUsed/>
    <w:rsid w:val="002963BD"/>
    <w:rPr>
      <w:color w:val="954F72" w:themeColor="followedHyperlink"/>
      <w:u w:val="single"/>
    </w:rPr>
  </w:style>
  <w:style w:type="paragraph" w:styleId="Revision">
    <w:name w:val="Revision"/>
    <w:hidden/>
    <w:uiPriority w:val="99"/>
    <w:semiHidden/>
    <w:rsid w:val="009927CA"/>
    <w:pPr>
      <w:spacing w:after="0" w:line="240" w:lineRule="auto"/>
    </w:pPr>
    <w:rPr>
      <w:rFonts w:ascii="Verdana" w:eastAsia="Verdana" w:hAnsi="Verdana" w:cs="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1%202861353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search/?api=1&amp;query=56.93596280607001,24.159797154647002"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wp.unil.ch/space/files/2025/11/space-ii_report-2024_251105.pdf" TargetMode="External"/><Relationship Id="rId3" Type="http://schemas.openxmlformats.org/officeDocument/2006/relationships/hyperlink" Target="https://wp.unil.ch/space/files/2025/11/space-ii_report-2024_251105.pdf" TargetMode="External"/><Relationship Id="rId7" Type="http://schemas.openxmlformats.org/officeDocument/2006/relationships/hyperlink" Target="https://www.vpd.gov.lv/lv/media/2135/download?attachment" TargetMode="External"/><Relationship Id="rId2" Type="http://schemas.openxmlformats.org/officeDocument/2006/relationships/hyperlink" Target="https://wp.unil.ch/space/files/2025/11/space-ii_report-2024_251105.pdf" TargetMode="External"/><Relationship Id="rId1" Type="http://schemas.openxmlformats.org/officeDocument/2006/relationships/hyperlink" Target="https://wp.unil.ch/space/files/2025/11/space-ii_report-2024_251105.pdf" TargetMode="External"/><Relationship Id="rId6" Type="http://schemas.openxmlformats.org/officeDocument/2006/relationships/hyperlink" Target="https://wp.unil.ch/space/files/2025/11/space-ii_report-2024_251105.pdf" TargetMode="External"/><Relationship Id="rId11" Type="http://schemas.openxmlformats.org/officeDocument/2006/relationships/hyperlink" Target="https://wp.unil.ch/space/space-ii/annual-reports/" TargetMode="External"/><Relationship Id="rId5" Type="http://schemas.openxmlformats.org/officeDocument/2006/relationships/hyperlink" Target="https://wp.unil.ch/space/files/2025/11/space-ii_report-2024_251105.pdf" TargetMode="External"/><Relationship Id="rId10" Type="http://schemas.openxmlformats.org/officeDocument/2006/relationships/hyperlink" Target="https://www.vpd.gov.lv/lv/media/2135/download?attachment" TargetMode="External"/><Relationship Id="rId4" Type="http://schemas.openxmlformats.org/officeDocument/2006/relationships/hyperlink" Target="https://wp.unil.ch/space/files/2025/11/space-ii_report-2024_251105.pdf" TargetMode="External"/><Relationship Id="rId9" Type="http://schemas.openxmlformats.org/officeDocument/2006/relationships/hyperlink" Target="https://wp.unil.ch/space/files/2025/11/space-ii_report-2024_251105.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dd07f9-f6cc-46db-b2dd-5c00425455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D57A532D9BED41A498D017CDE70EC2" ma:contentTypeVersion="18" ma:contentTypeDescription="Create a new document." ma:contentTypeScope="" ma:versionID="3684af03094dec296c8692fc87fd8c46">
  <xsd:schema xmlns:xsd="http://www.w3.org/2001/XMLSchema" xmlns:xs="http://www.w3.org/2001/XMLSchema" xmlns:p="http://schemas.microsoft.com/office/2006/metadata/properties" xmlns:ns3="2edd07f9-f6cc-46db-b2dd-5c004254552c" xmlns:ns4="49766754-816f-4117-a1ba-3516f580fe69" targetNamespace="http://schemas.microsoft.com/office/2006/metadata/properties" ma:root="true" ma:fieldsID="de0f75479deb04970da741954cab8108" ns3:_="" ns4:_="">
    <xsd:import namespace="2edd07f9-f6cc-46db-b2dd-5c004254552c"/>
    <xsd:import namespace="49766754-816f-4117-a1ba-3516f580fe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d07f9-f6cc-46db-b2dd-5c0042545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66754-816f-4117-a1ba-3516f580fe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21BDA-FC3F-4617-AB64-DCDB431B98CE}">
  <ds:schemaRefs>
    <ds:schemaRef ds:uri="http://schemas.openxmlformats.org/officeDocument/2006/bibliography"/>
  </ds:schemaRefs>
</ds:datastoreItem>
</file>

<file path=customXml/itemProps2.xml><?xml version="1.0" encoding="utf-8"?>
<ds:datastoreItem xmlns:ds="http://schemas.openxmlformats.org/officeDocument/2006/customXml" ds:itemID="{DAAA5A1A-6D39-48AD-9B6E-7A98377D873E}">
  <ds:schemaRefs>
    <ds:schemaRef ds:uri="http://schemas.microsoft.com/sharepoint/v3/contenttype/forms"/>
  </ds:schemaRefs>
</ds:datastoreItem>
</file>

<file path=customXml/itemProps3.xml><?xml version="1.0" encoding="utf-8"?>
<ds:datastoreItem xmlns:ds="http://schemas.openxmlformats.org/officeDocument/2006/customXml" ds:itemID="{42A21E1B-2DF8-4A8F-80FB-488128665FA6}">
  <ds:schemaRefs>
    <ds:schemaRef ds:uri="http://schemas.microsoft.com/office/2006/metadata/properties"/>
    <ds:schemaRef ds:uri="http://schemas.microsoft.com/office/infopath/2007/PartnerControls"/>
    <ds:schemaRef ds:uri="2edd07f9-f6cc-46db-b2dd-5c004254552c"/>
  </ds:schemaRefs>
</ds:datastoreItem>
</file>

<file path=customXml/itemProps4.xml><?xml version="1.0" encoding="utf-8"?>
<ds:datastoreItem xmlns:ds="http://schemas.openxmlformats.org/officeDocument/2006/customXml" ds:itemID="{6ED7923A-987E-40A5-B92B-EC40CA232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d07f9-f6cc-46db-b2dd-5c004254552c"/>
    <ds:schemaRef ds:uri="49766754-816f-4117-a1ba-3516f580f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508</Words>
  <Characters>2713</Characters>
  <Application>Microsoft Office Word</Application>
  <DocSecurity>0</DocSecurity>
  <Lines>40</Lines>
  <Paragraphs>7</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Rapisarda</dc:creator>
  <cp:keywords/>
  <cp:lastModifiedBy>Byrne, James</cp:lastModifiedBy>
  <cp:revision>2</cp:revision>
  <dcterms:created xsi:type="dcterms:W3CDTF">2026-03-12T19:55:00Z</dcterms:created>
  <dcterms:modified xsi:type="dcterms:W3CDTF">2026-03-12T19:55:00Z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0x010100C4D57A532D9BED41A498D017CDE70EC2</vt:lpwstr>
  </property>
</Properties>
</file>